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A705D" w14:textId="0027893D" w:rsidR="00B23DF1" w:rsidRDefault="00054CEF">
      <w:pPr>
        <w:pStyle w:val="Heading1"/>
        <w:ind w:firstLine="0"/>
        <w:rPr>
          <w:sz w:val="24"/>
        </w:rPr>
      </w:pPr>
      <w:r w:rsidRPr="00054CEF">
        <w:t>Service Quality, Trust, and Financial Behavior in Digital Banking: A Systematic Literature Review</w:t>
      </w:r>
    </w:p>
    <w:p w14:paraId="10A58C23" w14:textId="5106C983" w:rsidR="00B23DF1" w:rsidRDefault="00054CEF">
      <w:pPr>
        <w:spacing w:after="0" w:line="259" w:lineRule="auto"/>
        <w:ind w:right="0" w:firstLine="0"/>
        <w:rPr>
          <w:rFonts w:ascii="Calibri" w:hAnsi="Calibri"/>
          <w:b/>
        </w:rPr>
      </w:pPr>
      <w:bookmarkStart w:id="0" w:name="_heading=h.gjdgxs" w:colFirst="0" w:colLast="0"/>
      <w:bookmarkEnd w:id="0"/>
      <w:r w:rsidRPr="00054CEF">
        <w:rPr>
          <w:rFonts w:ascii="Calibri" w:hAnsi="Calibri"/>
          <w:b/>
        </w:rPr>
        <w:t>Erwin Nur Himawan</w:t>
      </w:r>
      <w:r>
        <w:rPr>
          <w:rFonts w:ascii="Calibri" w:hAnsi="Calibri"/>
          <w:b/>
          <w:vertAlign w:val="superscript"/>
        </w:rPr>
        <w:t>1</w:t>
      </w:r>
      <w:r>
        <w:rPr>
          <w:rFonts w:ascii="Calibri" w:hAnsi="Calibri"/>
          <w:b/>
        </w:rPr>
        <w:t xml:space="preserve"> </w:t>
      </w:r>
      <w:r>
        <w:rPr>
          <w:noProof/>
        </w:rPr>
        <w:drawing>
          <wp:inline distT="0" distB="0" distL="0" distR="0" wp14:anchorId="19B51A65" wp14:editId="53C26577">
            <wp:extent cx="152400" cy="111760"/>
            <wp:effectExtent l="0" t="0" r="0" b="0"/>
            <wp:docPr id="21287151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15000" b="11667"/>
                    <a:stretch>
                      <a:fillRect/>
                    </a:stretch>
                  </pic:blipFill>
                  <pic:spPr>
                    <a:xfrm>
                      <a:off x="0" y="0"/>
                      <a:ext cx="152400" cy="111760"/>
                    </a:xfrm>
                    <a:prstGeom prst="rect">
                      <a:avLst/>
                    </a:prstGeom>
                    <a:ln/>
                  </pic:spPr>
                </pic:pic>
              </a:graphicData>
            </a:graphic>
          </wp:inline>
        </w:drawing>
      </w:r>
      <w:r>
        <w:rPr>
          <w:rFonts w:ascii="Calibri" w:hAnsi="Calibri"/>
          <w:sz w:val="22"/>
          <w:szCs w:val="22"/>
        </w:rPr>
        <w:t xml:space="preserve"> </w:t>
      </w:r>
      <w:r>
        <w:rPr>
          <w:rFonts w:ascii="Calibri" w:hAnsi="Calibri"/>
          <w:noProof/>
        </w:rPr>
        <w:drawing>
          <wp:inline distT="0" distB="0" distL="0" distR="0" wp14:anchorId="63BB58BA" wp14:editId="2547B0E3">
            <wp:extent cx="117475" cy="117475"/>
            <wp:effectExtent l="0" t="0" r="0" b="0"/>
            <wp:docPr id="2128715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7475" cy="117475"/>
                    </a:xfrm>
                    <a:prstGeom prst="rect">
                      <a:avLst/>
                    </a:prstGeom>
                    <a:ln/>
                  </pic:spPr>
                </pic:pic>
              </a:graphicData>
            </a:graphic>
          </wp:inline>
        </w:drawing>
      </w:r>
      <w:r>
        <w:rPr>
          <w:rFonts w:ascii="Calibri" w:hAnsi="Calibri"/>
          <w:b/>
        </w:rPr>
        <w:t xml:space="preserve">,  </w:t>
      </w:r>
      <w:r w:rsidRPr="00054CEF">
        <w:rPr>
          <w:rFonts w:ascii="Calibri" w:hAnsi="Calibri"/>
          <w:b/>
        </w:rPr>
        <w:t>Farida Indriani</w:t>
      </w:r>
      <w:r>
        <w:rPr>
          <w:rFonts w:ascii="Calibri" w:hAnsi="Calibri"/>
          <w:b/>
          <w:vertAlign w:val="superscript"/>
        </w:rPr>
        <w:t>1</w:t>
      </w:r>
      <w:r>
        <w:rPr>
          <w:rFonts w:ascii="Calibri" w:hAnsi="Calibri"/>
          <w:b/>
        </w:rPr>
        <w:t xml:space="preserve"> </w:t>
      </w:r>
      <w:r>
        <w:rPr>
          <w:rFonts w:ascii="Calibri" w:hAnsi="Calibri"/>
          <w:noProof/>
        </w:rPr>
        <w:drawing>
          <wp:inline distT="0" distB="0" distL="0" distR="0" wp14:anchorId="4A59BBB9" wp14:editId="6F837814">
            <wp:extent cx="117893" cy="117893"/>
            <wp:effectExtent l="0" t="0" r="0" b="0"/>
            <wp:docPr id="2128715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7893" cy="117893"/>
                    </a:xfrm>
                    <a:prstGeom prst="rect">
                      <a:avLst/>
                    </a:prstGeom>
                    <a:ln/>
                  </pic:spPr>
                </pic:pic>
              </a:graphicData>
            </a:graphic>
          </wp:inline>
        </w:drawing>
      </w:r>
    </w:p>
    <w:p w14:paraId="39FDD7DB" w14:textId="50C06B4A" w:rsidR="00B23DF1" w:rsidRDefault="00DE5A5D">
      <w:pPr>
        <w:spacing w:before="100" w:after="480" w:line="259" w:lineRule="auto"/>
        <w:ind w:right="-46" w:firstLine="0"/>
        <w:rPr>
          <w:rFonts w:ascii="Calibri" w:hAnsi="Calibri"/>
          <w:color w:val="595959"/>
          <w:sz w:val="22"/>
          <w:szCs w:val="22"/>
        </w:rPr>
      </w:pPr>
      <w:r>
        <w:rPr>
          <w:rFonts w:ascii="Calibri" w:hAnsi="Calibri"/>
          <w:color w:val="595959"/>
          <w:sz w:val="22"/>
          <w:szCs w:val="22"/>
        </w:rPr>
        <w:t xml:space="preserve">Universitas </w:t>
      </w:r>
      <w:r w:rsidR="00054CEF" w:rsidRPr="00054CEF">
        <w:rPr>
          <w:rFonts w:ascii="Calibri" w:hAnsi="Calibri"/>
          <w:color w:val="595959"/>
          <w:sz w:val="22"/>
          <w:szCs w:val="22"/>
        </w:rPr>
        <w:t>Diponegoro, Semarang, Indonesia</w:t>
      </w:r>
      <w:r w:rsidR="00054CEF">
        <w:rPr>
          <w:rFonts w:ascii="Calibri" w:hAnsi="Calibri"/>
          <w:color w:val="595959"/>
          <w:sz w:val="22"/>
          <w:szCs w:val="22"/>
          <w:vertAlign w:val="superscript"/>
        </w:rPr>
        <w:t>1</w:t>
      </w:r>
      <w:r w:rsidR="00054CEF">
        <w:rPr>
          <w:rFonts w:ascii="Calibri" w:hAnsi="Calibri"/>
          <w:color w:val="595959"/>
          <w:sz w:val="22"/>
          <w:szCs w:val="22"/>
        </w:rPr>
        <w:t xml:space="preserve"> </w:t>
      </w: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B23DF1" w14:paraId="02958B4E" w14:textId="77777777">
        <w:trPr>
          <w:trHeight w:val="2844"/>
        </w:trPr>
        <w:tc>
          <w:tcPr>
            <w:tcW w:w="9072" w:type="dxa"/>
            <w:tcBorders>
              <w:top w:val="nil"/>
              <w:left w:val="nil"/>
              <w:bottom w:val="nil"/>
              <w:right w:val="nil"/>
            </w:tcBorders>
            <w:shd w:val="clear" w:color="auto" w:fill="F7F7F7"/>
            <w:tcMar>
              <w:top w:w="144" w:type="dxa"/>
              <w:left w:w="288" w:type="dxa"/>
              <w:bottom w:w="144" w:type="dxa"/>
              <w:right w:w="288" w:type="dxa"/>
            </w:tcMar>
          </w:tcPr>
          <w:p w14:paraId="5A4ECECA" w14:textId="77777777" w:rsidR="00B23DF1" w:rsidRDefault="00000000">
            <w:pPr>
              <w:pBdr>
                <w:top w:val="nil"/>
                <w:left w:val="nil"/>
                <w:bottom w:val="nil"/>
                <w:right w:val="nil"/>
                <w:between w:val="nil"/>
              </w:pBdr>
              <w:spacing w:before="280" w:after="120" w:line="276" w:lineRule="auto"/>
              <w:ind w:right="0" w:firstLine="0"/>
              <w:rPr>
                <w:rFonts w:ascii="Calibri" w:hAnsi="Calibri"/>
                <w:b/>
                <w:sz w:val="28"/>
                <w:szCs w:val="28"/>
              </w:rPr>
            </w:pPr>
            <w:r>
              <w:rPr>
                <w:rFonts w:ascii="Calibri" w:hAnsi="Calibri"/>
                <w:b/>
                <w:sz w:val="28"/>
                <w:szCs w:val="28"/>
              </w:rPr>
              <w:t xml:space="preserve">ABSTRACT </w:t>
            </w:r>
          </w:p>
          <w:p w14:paraId="1C5FFA3F" w14:textId="7F0A5386" w:rsidR="00B23DF1" w:rsidRDefault="00054CEF">
            <w:pPr>
              <w:ind w:firstLine="0"/>
              <w:rPr>
                <w:sz w:val="25"/>
                <w:szCs w:val="25"/>
              </w:rPr>
            </w:pPr>
            <w:r w:rsidRPr="00054CEF">
              <w:rPr>
                <w:sz w:val="25"/>
                <w:szCs w:val="25"/>
              </w:rPr>
              <w:t>This study explores the relationships between service quality, trust, and financial behavior in the context of digital banking transformation. Using a systematic literature review (SLR) approach, twenty-five peer-reviewed journal articles indexed in Scopus and SINTA 1–2 were analyzed to synthesize evidence on customer trust formation, technology adoption, and behavioral outcomes in digital banking. The review identifies trust and perceived service quality as the strongest determinants of digital banking usage, while perceived security risk remains a critical barrier to adoption. Findings indicate that digital banking services, such as Qlola Internet Banking at Bank Rakyat Indonesia (BRI), enhance customers' financial management efficiency, including transaction monitoring, liquidity control, and decision-making accuracy. However, behavioral outcomes are significantly influenced by the users' trust level and their perceived reliability of digital platforms. The study contributes to understanding how digital service experience shapes financial discipline and long-term engagement in digital financial ecosystems.</w:t>
            </w:r>
          </w:p>
          <w:p w14:paraId="290FF4B7" w14:textId="77777777" w:rsidR="00B23DF1" w:rsidRDefault="00B23DF1">
            <w:pPr>
              <w:spacing w:after="0"/>
              <w:ind w:firstLine="0"/>
            </w:pPr>
          </w:p>
          <w:p w14:paraId="642BE24D" w14:textId="631F06DA" w:rsidR="00B23DF1" w:rsidRDefault="00000000">
            <w:pPr>
              <w:pBdr>
                <w:top w:val="nil"/>
                <w:left w:val="nil"/>
                <w:bottom w:val="nil"/>
                <w:right w:val="nil"/>
                <w:between w:val="nil"/>
              </w:pBdr>
              <w:spacing w:after="0" w:line="600" w:lineRule="auto"/>
              <w:ind w:right="0" w:firstLine="0"/>
              <w:rPr>
                <w:rFonts w:ascii="Calibri" w:hAnsi="Calibri"/>
                <w:i/>
                <w:color w:val="1F3864"/>
                <w:sz w:val="24"/>
                <w:szCs w:val="24"/>
              </w:rPr>
            </w:pPr>
            <w:r>
              <w:rPr>
                <w:rFonts w:ascii="Calibri" w:hAnsi="Calibri"/>
                <w:b/>
                <w:i/>
                <w:color w:val="3B3838"/>
                <w:sz w:val="24"/>
                <w:szCs w:val="24"/>
              </w:rPr>
              <w:t xml:space="preserve">Keywords: </w:t>
            </w:r>
            <w:r w:rsidR="00054CEF" w:rsidRPr="00054CEF">
              <w:rPr>
                <w:rFonts w:ascii="Calibri" w:hAnsi="Calibri"/>
                <w:i/>
                <w:color w:val="3B3838"/>
                <w:sz w:val="24"/>
                <w:szCs w:val="24"/>
              </w:rPr>
              <w:t>Customer Trust, Digital Banking, Financial Behavior, Service Quality</w:t>
            </w:r>
          </w:p>
        </w:tc>
      </w:tr>
    </w:tbl>
    <w:p w14:paraId="3E0DCEF5" w14:textId="77777777" w:rsidR="00B23DF1" w:rsidRDefault="00B23DF1">
      <w:pPr>
        <w:spacing w:after="0" w:line="259" w:lineRule="auto"/>
        <w:ind w:right="0" w:firstLine="0"/>
        <w:jc w:val="left"/>
        <w:rPr>
          <w:sz w:val="22"/>
          <w:szCs w:val="22"/>
        </w:rPr>
        <w:sectPr w:rsidR="00B23DF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804" w:footer="216" w:gutter="0"/>
          <w:pgNumType w:start="1"/>
          <w:cols w:space="720"/>
          <w:titlePg/>
        </w:sectPr>
      </w:pPr>
    </w:p>
    <w:p w14:paraId="32C95982" w14:textId="77777777" w:rsidR="00B23DF1" w:rsidRDefault="00000000">
      <w:pPr>
        <w:spacing w:after="0" w:line="240" w:lineRule="auto"/>
        <w:ind w:right="0" w:firstLine="0"/>
        <w:jc w:val="left"/>
        <w:rPr>
          <w:rFonts w:ascii="Calibri" w:hAnsi="Calibri"/>
          <w:b/>
          <w:sz w:val="28"/>
          <w:szCs w:val="28"/>
        </w:rPr>
      </w:pPr>
      <w:r>
        <w:br w:type="page"/>
      </w:r>
    </w:p>
    <w:p w14:paraId="717BAC29" w14:textId="77777777" w:rsidR="00B23DF1" w:rsidRDefault="00000000">
      <w:pPr>
        <w:pStyle w:val="Heading2"/>
        <w:ind w:left="-5" w:firstLine="0"/>
      </w:pPr>
      <w:r>
        <w:lastRenderedPageBreak/>
        <w:t xml:space="preserve">1. | INTRODUCTION  </w:t>
      </w:r>
    </w:p>
    <w:p w14:paraId="35F6CA70" w14:textId="77777777" w:rsidR="00054CEF" w:rsidRDefault="00054CEF" w:rsidP="00054CEF">
      <w:pPr>
        <w:ind w:left="-15" w:right="35" w:firstLine="441"/>
      </w:pPr>
      <w:r>
        <w:t>The digital transformation of the banking industry has fundamentally reshaped how customers interact with financial services worldwide. Digital banking, which encompasses internet banking, mobile banking, and other electronic financial services, has emerged as a critical channel for delivering banking services globally (Mbama &amp; Ezepue, 2018). This transformation represents more than just a technological upgrade; it signifies a paradigm shift in the relationship between financial institutions and their customers. The acceleration of digital adoption, particularly intensified by the COVID-19 pandemic, has elevated digital banking from being merely an alternative channel to becoming a primary mode of financial transactions for millions of customers worldwide (Alalwan et al., 2017). This rapid shift has created both opportunities and challenges for financial institutions, customers, and regulators alike.</w:t>
      </w:r>
    </w:p>
    <w:p w14:paraId="57C0F371" w14:textId="10502354" w:rsidR="00054CEF" w:rsidRDefault="00054CEF" w:rsidP="00054CEF">
      <w:pPr>
        <w:ind w:left="-15" w:right="35" w:firstLine="441"/>
      </w:pPr>
      <w:r>
        <w:t xml:space="preserve">In Indonesia, the digital banking landscape has experienced remarkable growth over the past decade, with major financial institutions such as Bank Rakyat Indonesia (BRI), Bank Mandiri, and Bank Central Asia (BCA) investing heavily in digital infrastructure to meet evolving customer expectations. The introduction of sophisticated platforms such as Qlola Internet Banking by BRI exemplifies a strategic response to changing customer expectations and intensifying competitive pressures in the financial services sector (Shaikh &amp; Karjaluoto, 2015). These platforms offer customers unprecedented convenience, enabling them to conduct financial transactions anytime and anywhere without visiting physical branches. Despite these technological advancements and the apparent </w:t>
      </w:r>
      <w:r w:rsidR="00DE5A5D">
        <w:t>benefits,</w:t>
      </w:r>
      <w:r>
        <w:t xml:space="preserve"> they offer, the successful adoption and continued usage of digital banking services remain contingent upon multiple interrelated factors that influence customer behavior and decision-making processes.</w:t>
      </w:r>
    </w:p>
    <w:p w14:paraId="20481E34" w14:textId="77777777" w:rsidR="00054CEF" w:rsidRDefault="00054CEF" w:rsidP="00054CEF">
      <w:pPr>
        <w:ind w:left="-15" w:right="35" w:firstLine="441"/>
      </w:pPr>
      <w:r>
        <w:t>While digital banking offers numerous benefits including convenience, 24/7 accessibility, and operational efficiency, several critical challenges continue to impede its universal adoption. Previous research has indicated that customer trust, perceived service quality, and security concerns are critical determinants of digital banking acceptance (Rahi et al., 2019). However, the interrelationships between these constructs and their collective impact on customer financial behavior remain inadequately understood, particularly in emerging market contexts where digital infrastructure, financial literacy, and cultural factors may differ significantly from developed markets. Furthermore, there exists a substantial knowledge gap regarding how digital banking experiences influence customers' broader financial behaviors, including savings patterns, investment decisions, and overall financial discipline. Understanding these complex dynamics is essential not only for financial institutions seeking to design effective digital strategies but also for policymakers aiming to promote financial inclusion and literacy through digital channels.</w:t>
      </w:r>
    </w:p>
    <w:p w14:paraId="09BB76CD" w14:textId="77777777" w:rsidR="00054CEF" w:rsidRDefault="00054CEF" w:rsidP="00054CEF">
      <w:pPr>
        <w:ind w:left="-15" w:right="35" w:firstLine="441"/>
      </w:pPr>
      <w:r>
        <w:t xml:space="preserve">The present systematic literature review addresses these gaps by synthesizing existing empirical evidence on the relationships between service quality, trust, and financial behavior in digital banking contexts. Specifically, this review aims to identify key determinants of digital banking adoption and continued usage, examine how digital banking services influence customers' financial management practices, explore barriers to digital banking adoption with particular emphasis on security and trust concerns, and provide theoretical and practical implications for stakeholders in the digital banking ecosystem. By consolidating findings from multiple empirical studies conducted across diverse contexts, this review seeks to offer a </w:t>
      </w:r>
      <w:r>
        <w:lastRenderedPageBreak/>
        <w:t>comprehensive understanding of the factors that drive successful digital banking adoption and the mechanisms through which digital banking influences customer financial behavior.</w:t>
      </w:r>
    </w:p>
    <w:p w14:paraId="48DA44DA" w14:textId="77C95C01" w:rsidR="00B23DF1" w:rsidRDefault="00054CEF" w:rsidP="00054CEF">
      <w:pPr>
        <w:ind w:left="-15" w:right="35" w:firstLine="441"/>
      </w:pPr>
      <w:r>
        <w:t>This research makes several important contributions to the literature and practice. Theoretically, it provides a comprehensive synthesis of empirical findings on digital banking adoption and its behavioral consequences, integrating insights from multiple theoretical perspectives including the Technology Acceptance Model, Unified Theory of Acceptance and Use of Technology, and Trust-Commitment Theory. Practically, the study offers valuable insights for banking practitioners seeking to enhance digital service delivery and for technology developers designing user-centric banking applications. The findings can also inform policy interventions aimed at promoting digital financial literacy and inclusion, particularly in emerging markets where digital banking has the potential to significantly expand access to financial services. Additionally, by examining the specific case of BRI's Qlola Internet Banking platform, this review provides concrete evidence of how well-designed digital banking services can deliver tangible benefits to customers, particularly in terms of financial management efficiency and behavioral improvements.</w:t>
      </w:r>
    </w:p>
    <w:p w14:paraId="7890401D" w14:textId="77777777" w:rsidR="00B23DF1" w:rsidRDefault="00000000">
      <w:pPr>
        <w:pStyle w:val="Heading2"/>
        <w:ind w:left="-5" w:firstLine="0"/>
      </w:pPr>
      <w:r>
        <w:t xml:space="preserve">2. | LITERATURE REVIEW </w:t>
      </w:r>
    </w:p>
    <w:p w14:paraId="50F883AF" w14:textId="5292E73E" w:rsidR="00B23DF1" w:rsidRDefault="00054CEF">
      <w:pPr>
        <w:pStyle w:val="Heading3"/>
        <w:ind w:firstLine="0"/>
      </w:pPr>
      <w:r w:rsidRPr="00054CEF">
        <w:t>Digital Banking: Conceptual Framework</w:t>
      </w:r>
    </w:p>
    <w:p w14:paraId="4E96BA35" w14:textId="77777777" w:rsidR="00054CEF" w:rsidRDefault="00054CEF" w:rsidP="00054CEF">
      <w:pPr>
        <w:ind w:left="-15" w:right="35" w:firstLine="441"/>
      </w:pPr>
      <w:r>
        <w:t>Digital banking refers to the comprehensive digitization of traditional banking activities and programs that were historically available to customers exclusively through physical bank branches (Makanyeza &amp; Mutambayashata, 2018). It encompasses a wide spectrum of services including internet banking, mobile banking applications, digital wallets, automated transaction systems, and increasingly sophisticated fintech integrations. The evolution of digital banking represents a fundamental paradigm shift from traditional branch-based service delivery to platform-based financial ecosystems that prioritize accessibility, convenience, and personalization. This transformation has been driven by advances in information technology, changing customer expectations influenced by experiences with other digital services, and competitive pressures forcing financial institutions to innovate continuously.</w:t>
      </w:r>
    </w:p>
    <w:p w14:paraId="0C8686BD" w14:textId="0772608B" w:rsidR="00B23DF1" w:rsidRDefault="00054CEF" w:rsidP="00054CEF">
      <w:pPr>
        <w:ind w:left="-15" w:right="35" w:firstLine="441"/>
      </w:pPr>
      <w:r>
        <w:t>The Technology Acceptance Model (TAM), originally proposed by Davis (1989), provides a foundational theoretical framework for understanding digital banking adoption. TAM posits that perceived usefulness and perceived ease of use are primary determinants of technology acceptance, with these factors influencing attitudes toward using the technology, which in turn affect behavioral intentions and actual usage. Extensions of TAM, including TAM2 and TAM3, have incorporated additional variables such as trust, social influence, facilitating conditions, and subjective norms to provide more comprehensive explanations of technology adoption behavior (Venkatesh &amp; Davis, 2000). In the context of digital banking, these extended models have proven particularly valuable in explaining the complex interplay of functional, psychological, and social factors that influence customer decisions to adopt and continue using digital banking services.</w:t>
      </w:r>
    </w:p>
    <w:p w14:paraId="0D75CACF" w14:textId="63498078" w:rsidR="00054CEF" w:rsidRDefault="00054CEF" w:rsidP="00054CEF">
      <w:pPr>
        <w:pStyle w:val="Heading3"/>
        <w:ind w:firstLine="0"/>
      </w:pPr>
      <w:r w:rsidRPr="00054CEF">
        <w:t>Service Quality in Digital Banking</w:t>
      </w:r>
    </w:p>
    <w:p w14:paraId="113A0712" w14:textId="77777777" w:rsidR="00054CEF" w:rsidRDefault="00054CEF" w:rsidP="00054CEF">
      <w:pPr>
        <w:ind w:left="-15" w:right="35" w:firstLine="441"/>
      </w:pPr>
      <w:r>
        <w:t xml:space="preserve">Service quality in digital banking is recognized as a multidimensional construct that encompasses various aspects of the customer experience including system reliability, responsiveness to customer needs, security provisions, user interface design quality, and the effectiveness of customer support services (Parasuraman et al., 1988). The E-S-QUAL model, which was specifically designed to assess electronic service quality, identifies four critical </w:t>
      </w:r>
      <w:r>
        <w:lastRenderedPageBreak/>
        <w:t>dimensions that are particularly relevant to digital contexts: efficiency in completing transactions, system availability and reliability, fulfillment of promised services, and protection of privacy (Parasuraman et al., 2005). Empirical research has consistently demonstrated that superior service quality in digital banking leads to enhanced customer satisfaction, increased loyalty, and positive word-of-mouth recommendations, all of which contribute to the long-term success of digital banking initiatives (Amin, 2016).</w:t>
      </w:r>
    </w:p>
    <w:p w14:paraId="5AE963B0" w14:textId="7A2E023F" w:rsidR="00054CEF" w:rsidRDefault="00054CEF" w:rsidP="00054CEF">
      <w:pPr>
        <w:ind w:left="-15" w:right="35" w:firstLine="441"/>
      </w:pPr>
      <w:r>
        <w:t>Recent studies have increasingly highlighted the growing importance of personalization and customization capabilities in shaping perceptions of digital banking service quality (Raza et al., 2020). Contemporary customers have come to expect that banking applications will provide not just basic transaction capabilities but also tailored financial advice, predictive analytics based on their financial behaviors, and seamless integration with other financial management tools and platforms. The ability of digital banking platforms to deliver these personalized experiences has emerged as a significant differentiator in the competitive landscape and substantially influences both perceived service quality and subsequent usage intentions. This trend reflects broader patterns in digital service provision where one-size-fits-all approaches are increasingly inadequate for meeting sophisticated customer expectations.</w:t>
      </w:r>
    </w:p>
    <w:p w14:paraId="52D02DD5" w14:textId="64A6C1DA" w:rsidR="00054CEF" w:rsidRDefault="00054CEF" w:rsidP="00054CEF">
      <w:pPr>
        <w:pStyle w:val="Heading3"/>
        <w:ind w:firstLine="0"/>
      </w:pPr>
      <w:r w:rsidRPr="00054CEF">
        <w:t>Trust in Digital Banking</w:t>
      </w:r>
    </w:p>
    <w:p w14:paraId="71D9629E" w14:textId="77777777" w:rsidR="00054CEF" w:rsidRDefault="00054CEF" w:rsidP="00054CEF">
      <w:pPr>
        <w:ind w:left="-15" w:right="35" w:firstLine="441"/>
      </w:pPr>
      <w:r>
        <w:t>Trust is recognized as a critical psychological construct that fundamentally influences customers' willingness to engage in online transactions that inherently involve elements of risk and uncertainty (Gefen et al., 2003). In the digital banking context, trust operates simultaneously at multiple levels including trust in the underlying technology infrastructure, trust in the financial institution providing the service, and trust in the broader regulatory environment that governs digital financial transactions. The formation and maintenance of trust in digital contexts present unique challenges compared to traditional banking relationships because digital interactions lack the personal connection and physical presence that have historically characterized branch-based banking relationships (Kim et al., 2009). This absence of face-to-face interaction necessitates alternative mechanisms for building and sustaining customer trust in digital banking services.</w:t>
      </w:r>
    </w:p>
    <w:p w14:paraId="580DAA44" w14:textId="3BA93BFD" w:rsidR="00054CEF" w:rsidRDefault="00054CEF" w:rsidP="00054CEF">
      <w:pPr>
        <w:ind w:left="-15" w:right="35" w:firstLine="441"/>
      </w:pPr>
      <w:r>
        <w:t>The extensive literature on digital banking has identified several key antecedents that influence trust formation. Perceived security, encompassing both the actual security measures implemented and customers' perceptions of these measures, has consistently emerged as a primary trust determinant (Yousafzai et al., 2009). Privacy protection, demonstrated through clear policies and consistent practices regarding the handling of customer data, also plays a crucial role in building trust. Institutional reputation, built through years of reliable service and positive brand associations, serves as an important trust signal, particularly for customers who are new to digital banking. Additionally, prior positive experiences with digital services, whether from the same institution or other providers, contribute significantly to trust development by reducing perceived risk and increasing confidence in digital channels. Security features such as two-factor authentication, biometric verification, and advanced encryption protocols serve as tangible trust-building mechanisms. Furthermore, transparent communication about security measures, prompt responses to customer concerns, and effective handling of any security incidents all contribute to the ongoing process of trust development and maintenance in digital banking relationships.</w:t>
      </w:r>
    </w:p>
    <w:p w14:paraId="1E34533C" w14:textId="18D386D0" w:rsidR="00054CEF" w:rsidRDefault="00054CEF" w:rsidP="00054CEF">
      <w:pPr>
        <w:pStyle w:val="Heading3"/>
        <w:ind w:firstLine="0"/>
      </w:pPr>
      <w:r w:rsidRPr="00054CEF">
        <w:lastRenderedPageBreak/>
        <w:t>Financial Behavior and Digital Banking</w:t>
      </w:r>
    </w:p>
    <w:p w14:paraId="41F3E4A6" w14:textId="77777777" w:rsidR="00054CEF" w:rsidRDefault="00054CEF" w:rsidP="00054CEF">
      <w:pPr>
        <w:ind w:left="-15" w:right="35" w:firstLine="441"/>
      </w:pPr>
      <w:r>
        <w:t>Financial behavior encompasses the full range of individuals' decisions and actions related to money management, including but not limited to saving, spending, investing, borrowing, and financial planning activities (Xiao, 2008). The advent of digital banking has fundamentally transformed many aspects of financial behavior by providing customers with real-time access to comprehensive financial information, sophisticated automated budgeting and analysis tools, and significantly simplified transaction processes that reduce friction in financial management. Empirical research has suggested that digital banking usage is positively correlated with improved financial awareness, better understanding of personal financial situations, and more disciplined money management practices compared to reliance on traditional banking channels (Lusardi &amp; Mitchell, 2014).</w:t>
      </w:r>
    </w:p>
    <w:p w14:paraId="6CD426B1" w14:textId="4497793D" w:rsidR="00054CEF" w:rsidRDefault="00054CEF" w:rsidP="00054CEF">
      <w:pPr>
        <w:ind w:left="-15" w:right="35" w:firstLine="441"/>
      </w:pPr>
      <w:r>
        <w:t>Digital banking platforms facilitate improved financial behavior through an array of features designed to enhance financial awareness and control. Transaction categorization features help customers understand spending patterns across different categories, while automated spending alerts provide timely notifications about account activity and potential overspending. Goal-setting tools enable customers to define and track progress toward specific financial objectives, and comprehensive financial planning modules offer guidance for longer-term financial management. These functionalities collectively enhance customers' ability to continuously monitor their financial status, exercise better control over liquidity, and make more informed financial decisions based on complete and current information. However, it is important to recognize that the effectiveness of these tools is not automatic but depends significantly on customers' levels of digital literacy, their willingness to engage actively with the platform, and their underlying financial knowledge and discipline.</w:t>
      </w:r>
    </w:p>
    <w:p w14:paraId="30159CF6" w14:textId="0058E881" w:rsidR="00054CEF" w:rsidRDefault="00054CEF" w:rsidP="00054CEF">
      <w:pPr>
        <w:pStyle w:val="Heading3"/>
        <w:ind w:firstLine="0"/>
      </w:pPr>
      <w:r w:rsidRPr="00054CEF">
        <w:t>Barriers to Digital Banking Adoption</w:t>
      </w:r>
    </w:p>
    <w:p w14:paraId="31E74726" w14:textId="77777777" w:rsidR="00054CEF" w:rsidRDefault="00054CEF" w:rsidP="00054CEF">
      <w:pPr>
        <w:ind w:left="-15" w:right="35" w:firstLine="441"/>
      </w:pPr>
      <w:r>
        <w:t>Despite the compelling advantages offered by digital banking, its adoption continues to face several significant barriers that vary in importance across different customer segments and contexts. Perceived security risk has emerged as the most substantial obstacle to adoption, with customers expressing persistent concerns about potential data breaches, identity theft, financial fraud, and unauthorized transactions (Rahi et al., 2019). The high-profile nature of cybersecurity incidents in the financial sector, which receive extensive media coverage when they occur, tends to amplify these concerns and can significantly undermine trust in digital banking services even among customers who have not personally experienced security problems.</w:t>
      </w:r>
    </w:p>
    <w:p w14:paraId="418CDB5E" w14:textId="10A14B2F" w:rsidR="00054CEF" w:rsidRDefault="00054CEF" w:rsidP="00054CEF">
      <w:pPr>
        <w:ind w:left="-15" w:right="35" w:firstLine="441"/>
      </w:pPr>
      <w:r>
        <w:t xml:space="preserve">Beyond security concerns, technological complexity presents another important barrier, particularly for customers who lack familiarity with digital technologies. Complex user interfaces, multiple authentication steps, unfamiliar terminology, and the general learning curve associated with new technology can create significant friction in the user experience and deter potential adopters. Limited internet connectivity and inadequate access to suitable devices also constrain digital banking adoption in many contexts, particularly in rural areas or among lower-income populations. Additionally, some customers continue to express a strong preference for human interaction in banking matters, valuing the personal relationship with bank staff and the ability to receive face-to-face assistance for complex transactions or problem resolution (Martins et al., 2014). Demographic factors including age, income level, and education also play important roles in shaping adoption patterns, with older individuals and those with lower education levels typically exhibiting lower adoption rates and requiring more </w:t>
      </w:r>
      <w:r>
        <w:lastRenderedPageBreak/>
        <w:t>support to overcome adoption barriers. Effectively addressing these multifaceted barriers requires comprehensive strategies that combine technological improvements to enhance usability and security, targeted user education programs to build digital skills and confidence, and supportive policy interventions to expand infrastructure and protect consumer interests.</w:t>
      </w:r>
    </w:p>
    <w:p w14:paraId="46E7B706" w14:textId="2A632528" w:rsidR="00054CEF" w:rsidRDefault="00054CEF" w:rsidP="00054CEF">
      <w:pPr>
        <w:pStyle w:val="Heading3"/>
        <w:ind w:firstLine="0"/>
      </w:pPr>
      <w:r w:rsidRPr="00054CEF">
        <w:t>Theoretical Frameworks</w:t>
      </w:r>
    </w:p>
    <w:p w14:paraId="722A8B32" w14:textId="4D4DBBAA" w:rsidR="00054CEF" w:rsidRDefault="00054CEF" w:rsidP="00054CEF">
      <w:pPr>
        <w:ind w:left="-15" w:right="35" w:firstLine="441"/>
      </w:pPr>
      <w:r w:rsidRPr="00054CEF">
        <w:t xml:space="preserve">This systematic literature review draws upon several complementary theoretical frameworks to develop a comprehensive understanding of digital banking adoption and the behavioral consequences of digital banking usage. The Technology Acceptance Model (TAM) provides the foundational framework by explaining technology adoption through the core constructs of perceived usefulness and perceived ease of use, which have been extensively validated across various technology adoption contexts. The Unified Theory of Acceptance and Use of Technology (UTAUT) </w:t>
      </w:r>
      <w:r w:rsidR="00DE5A5D" w:rsidRPr="00054CEF">
        <w:t>extend</w:t>
      </w:r>
      <w:r w:rsidRPr="00054CEF">
        <w:t xml:space="preserve"> this foundation by integrating additional determinants including performance expectancy, effort expectancy, social influence, and facilitating conditions, thereby providing a more comprehensive model that accounts for both individual and contextual factors affecting technology adoption. Trust-Commitment Theory offers important insights by emphasizing the critical role that trust plays in developing and maintaining long-term customer relationships, particularly in contexts involving risk and uncertainty such as financial transactions. The Theory of Planned Behavior (TPB) contributes by linking attitudes toward the behavior, subjective norms, and perceived behavioral control to behavioral intentions, thereby highlighting the role of both rational evaluation and social influences in shaping behavior. Finally, the E-Service Quality Framework addresses the specific quality dimensions relevant to electronic service delivery, recognizing that quality evaluation in digital contexts involves considerations that differ in important ways from traditional service quality assessment. Together, these theoretical perspectives provide a rich conceptual foundation for understanding the complex phenomena of digital banking adoption and usage.</w:t>
      </w:r>
    </w:p>
    <w:p w14:paraId="778839EB" w14:textId="77777777" w:rsidR="00B23DF1" w:rsidRDefault="00000000">
      <w:pPr>
        <w:pStyle w:val="Heading2"/>
        <w:ind w:left="-5" w:firstLine="0"/>
      </w:pPr>
      <w:r>
        <w:t xml:space="preserve">3. | RESEARCH METHOD </w:t>
      </w:r>
    </w:p>
    <w:p w14:paraId="4022EF32" w14:textId="7AA716A0" w:rsidR="00B23DF1" w:rsidRDefault="00603695">
      <w:pPr>
        <w:ind w:left="-15" w:right="35" w:firstLine="441"/>
      </w:pPr>
      <w:r w:rsidRPr="00603695">
        <w:t>This study employs a systematic literature review (SLR) methodology, adhering closely to the Preferred Reporting Items for Systematic Reviews and Meta-Analyses (PRISMA) guidelines to ensure rigor and transparency (Moher et al., 2009). The SLR approach provides a structured and replicable method for comprehensively identifying, critically evaluating, and systematically synthesizing relevant empirical studies to answer specific research questions. This methodology is particularly well-suited for consolidating knowledge across research domains that may be fragmented across different journals, disciplines, and methodological approaches, and for identifying consistent patterns, significant gaps, and notable contradictions in existing literature. By following established SLR protocols, this review ensures that the synthesis of evidence is conducted in a systematic, unbiased, and comprehensive manner that maximizes the reliability and validity of conclusions.</w:t>
      </w:r>
    </w:p>
    <w:p w14:paraId="6B86F173" w14:textId="77777777" w:rsidR="00603695" w:rsidRDefault="00603695" w:rsidP="00603695">
      <w:pPr>
        <w:ind w:left="-15" w:right="35" w:firstLine="441"/>
      </w:pPr>
      <w:r>
        <w:t xml:space="preserve">A comprehensive and systematic search was conducted across multiple prominent academic databases including Scopus, Web of Science, and Indonesian national indexing systems (specifically SINTA 1-2 journals) to ensure broad coverage of relevant literature. The temporal scope of the search covered publications from January 2015 to October 2025, a ten-year period chosen to capture recent developments and contemporary trends in digital banking research while maintaining sufficient historical depth for comprehensive coverage. This </w:t>
      </w:r>
      <w:r>
        <w:lastRenderedPageBreak/>
        <w:t>timeframe encompasses the period of rapid digital banking growth and the significant acceleration of adoption driven by the COVID-19 pandemic.</w:t>
      </w:r>
    </w:p>
    <w:p w14:paraId="0F1FF4D7" w14:textId="32E9A89D" w:rsidR="00603695" w:rsidRDefault="00603695" w:rsidP="00603695">
      <w:pPr>
        <w:ind w:left="-15" w:right="35" w:firstLine="441"/>
      </w:pPr>
      <w:r>
        <w:t>The search strategy employed carefully constructed search strings combining multiple relevant terms to maximize retrieval of pertinent studies. The primary search string combined terms related to digital banking formats including "digital banking," "internet banking," "mobile banking," "online banking," and "e-banking" with terms capturing the key constructs of interest such as "service quality," "customer trust," "trust," and "perceived quality." These were further combined with behavioral outcome terms including "financial behavior," "customer behavior," "adoption," "usage intention," and "customer satisfaction." To ensure inclusion of relevant studies from the target geographic context, additional geographic terms including "Indonesia," "Bank Rakyat Indonesia," "emerging markets," and "developing countries" were incorporated. Boolean operators (AND, OR) were used appropriately to create comprehensive yet focused search strings tailored to each database's specific search syntax requirements.</w:t>
      </w:r>
    </w:p>
    <w:p w14:paraId="0E8D3811" w14:textId="77777777" w:rsidR="00603695" w:rsidRDefault="00603695" w:rsidP="00603695">
      <w:pPr>
        <w:ind w:left="-15" w:right="35" w:firstLine="441"/>
      </w:pPr>
      <w:r>
        <w:t>Clear and rigorous inclusion and exclusion criteria were established a priori to guide study selection and ensure consistency in determining study eligibility. Studies were considered eligible for inclusion if they were peer-reviewed journal articles published in either English or Indonesian languages, employed empirical methodologies (quantitative, qualitative, or mixed-methods) to investigate relationships between service quality, trust, and financial behavior in digital banking contexts, were indexed in either Scopus or SINTA 1-2 journals to ensure quality standards, and focused primarily on individual customer behavior in business-to-consumer (B2C) contexts rather than institutional or business-to-business banking relationships.</w:t>
      </w:r>
    </w:p>
    <w:p w14:paraId="2C39D80E" w14:textId="5AAC8F09" w:rsidR="00603695" w:rsidRDefault="00603695" w:rsidP="00603695">
      <w:pPr>
        <w:ind w:left="-15" w:right="35" w:firstLine="441"/>
      </w:pPr>
      <w:r>
        <w:t>Conversely, studies were excluded from consideration if they fell into any of several categories: conference proceedings, dissertations, book chapters, and other non-peer-reviewed publications; purely conceptual or theoretical papers that did not include empirical data collection and analysis; studies focused exclusively on institutional perspectives or business-to-business banking contexts; articles for which full text was not available through institutional access or open access channels; and duplicate publications reporting the same study. These carefully defined criteria ensured that the final set of included studies met consistent standards of quality, relevance, and accessibility.</w:t>
      </w:r>
    </w:p>
    <w:p w14:paraId="52455891" w14:textId="0D566328" w:rsidR="00603695" w:rsidRDefault="00603695" w:rsidP="00603695">
      <w:pPr>
        <w:ind w:left="-15" w:right="35" w:firstLine="441"/>
      </w:pPr>
      <w:r w:rsidRPr="00603695">
        <w:t xml:space="preserve">The study selection process followed a systematic four-stage approach designed to progressively narrow the pool of potentially relevant studies to those meeting all inclusion criteria. In the identification stage, initial database searches using the predetermined search strings yielded a total of 342 potentially relevant articles across all databases. In the screening stage, two independent reviewers conducted title and abstract screening of all identified records to assess apparent relevance, resulting in the elimination of 218 articles that clearly did not meet the inclusion criteria, thereby leaving 124 articles for full-text review. In the eligibility assessment stage, the full texts of these 124 articles were retrieved and carefully reviewed against all inclusion and exclusion criteria. This detailed assessment resulted in the exclusion of 99 additional articles for various reasons: 42 articles demonstrated insufficient focus on the key constructs of interest, 28 exhibited methodological limitations that raised concerns about the reliability of their findings, 19 lacked adequate empirical data despite claims of empirical investigation, and 10 could not be obtained in full text despite extensive efforts. In the final inclusion stage, the remaining 25 articles that met all inclusion criteria were included in the </w:t>
      </w:r>
      <w:r w:rsidRPr="00603695">
        <w:lastRenderedPageBreak/>
        <w:t>systematic synthesis. To ensure reliability, discrepancies between reviewers in any stage were resolved through discussion and consultation with a third reviewer when necessary.</w:t>
      </w:r>
    </w:p>
    <w:p w14:paraId="0FAFD544" w14:textId="77777777" w:rsidR="00603695" w:rsidRDefault="00603695" w:rsidP="00603695">
      <w:pPr>
        <w:ind w:left="-15" w:right="35" w:firstLine="441"/>
      </w:pPr>
      <w:r>
        <w:t>A standardized data extraction form was developed and pilot-tested to systematically capture all relevant information from each included study in a consistent format. This form was designed to extract comprehensive information including study characteristics such as authors, publication year, country of study, and journal name; detailed sample characteristics including size, demographic composition, and specific context; research design and methodological approach; theoretical frameworks explicitly employed or implicitly referenced; key variables examined including independent, dependent, mediating, and moderating variables; measurement instruments used to assess each construct; main empirical findings including effect sizes, significance levels, and directions of relationships; practical implications highlighted by the authors; and acknowledged limitations of each study.</w:t>
      </w:r>
    </w:p>
    <w:p w14:paraId="5279970E" w14:textId="67955224" w:rsidR="00603695" w:rsidRDefault="00603695" w:rsidP="00603695">
      <w:pPr>
        <w:ind w:left="-15" w:right="35" w:firstLine="441"/>
      </w:pPr>
      <w:r>
        <w:t>Quality assessment of included studies was conducted using adapted criteria drawn from established critical appraisal tools. For quantitative studies, criteria adapted from the Critical Appraisal Skills Programme (CASP) were employed, while qualitative studies were evaluated using criteria adapted from the Consolidated Criteria for Reporting Qualitative Research (COREQ). Each article was systematically evaluated across multiple dimensions including the strength and appropriateness of the theoretical foundation, methodological rigor in research design and execution, sophistication and appropriateness of analytical approaches, and overall contribution to advancing knowledge in the field. This quality assessment process helped identify the most robust and reliable evidence while also highlighting areas where methodological limitations might affect the interpretation of findings.</w:t>
      </w:r>
    </w:p>
    <w:p w14:paraId="08FDF1D3" w14:textId="77777777" w:rsidR="00603695" w:rsidRDefault="00603695" w:rsidP="00603695">
      <w:pPr>
        <w:ind w:left="-15" w:right="35" w:firstLine="441"/>
      </w:pPr>
      <w:r>
        <w:t>Given the diversity of methodologies, contexts, and specific research questions addressed by the included studies, a narrative synthesis approach was employed as the primary method for integrating findings. This approach involved carefully reading and re-reading each study, systematically extracting relevant findings, and identifying recurring patterns, relationships, and contradictions across studies. Thematic analysis techniques were used to organize findings according to the main research objectives: determinants of digital banking adoption, nature and direction of relationships between service quality and trust, impact of digital banking on financial behavior, and barriers to adoption. Within each theme, findings were further organized by sub-themes to provide a structured and comprehensive synthesis.</w:t>
      </w:r>
    </w:p>
    <w:p w14:paraId="584E79D1" w14:textId="1132EB0B" w:rsidR="00603695" w:rsidRDefault="00603695" w:rsidP="00603695">
      <w:pPr>
        <w:ind w:left="-15" w:right="35" w:firstLine="441"/>
      </w:pPr>
      <w:r>
        <w:t>Where sufficient homogeneity existed across studies in terms of constructs measured, methodological approaches, and contexts examined, qualitative meta-synthesis techniques were applied to aggregate findings and identify consistent patterns. Effect sizes, where reported, were extracted and compared across studies to assess the strength and consistency of relationships. Relationships between key constructs were systematically mapped and analyzed to develop an integrated conceptual framework that synthesizes the empirical evidence from multiple studies into a coherent theoretical model. Throughout the synthesis process, attention was paid to identifying not only areas of consensus but also contradictions or inconsistencies that might reflect genuine contextual differences or methodological variations requiring further investigation.</w:t>
      </w:r>
    </w:p>
    <w:p w14:paraId="4D288350" w14:textId="022CB200" w:rsidR="00603695" w:rsidRDefault="00603695" w:rsidP="00603695">
      <w:pPr>
        <w:ind w:left="-15" w:right="35" w:firstLine="441"/>
      </w:pPr>
      <w:r w:rsidRPr="00603695">
        <w:t xml:space="preserve">Several methodological limitations of this systematic literature review warrant explicit acknowledgment as they may affect the interpretation and generalizability of findings. First, the deliberate restriction of inclusion to peer-reviewed articles indexed specifically in Scopus and SINTA 1-2 journals, while ensuring quality standards, may have inadvertently excluded </w:t>
      </w:r>
      <w:r w:rsidRPr="00603695">
        <w:lastRenderedPageBreak/>
        <w:t>relevant studies published in grey literature or in non-indexed journals that could contribute valuable insights. Second, the predominance of quantitative studies in the final sample (80% of included studies) inherently limits the depth of insights into contextual nuances, rich customer experiences, and the complex psychological processes underlying adoption and usage decisions. Third, the well-documented publication bias in academic literature toward statistically significant results may lead to an overestimation of the strength of certain relationships while potentially underrepresenting null or negative findings that could be equally informative. Fourth, the heterogeneity in methodological approaches, measurement instruments, and sample characteristics across studies, while enriching the diversity of evidence, also creates challenges in drawing definitive conclusions about the magnitude of effects. These limitations were carefully considered throughout the process of interpreting findings and developing conclusions, and areas where evidence was limited or contradictory are explicitly noted in the results and discussion sections.</w:t>
      </w:r>
    </w:p>
    <w:p w14:paraId="7596A16D" w14:textId="07B55862" w:rsidR="00B23DF1" w:rsidRDefault="00000000">
      <w:pPr>
        <w:pStyle w:val="Heading2"/>
        <w:ind w:left="-5" w:firstLine="0"/>
      </w:pPr>
      <w:r>
        <w:t xml:space="preserve">4. | RESULTS </w:t>
      </w:r>
    </w:p>
    <w:p w14:paraId="1E6D1973" w14:textId="469302E7" w:rsidR="00603695" w:rsidRDefault="00603695" w:rsidP="00603695">
      <w:pPr>
        <w:pStyle w:val="Heading3"/>
        <w:ind w:firstLine="0"/>
      </w:pPr>
      <w:r w:rsidRPr="00603695">
        <w:t>Study Characteristics</w:t>
      </w:r>
    </w:p>
    <w:p w14:paraId="74E9675B" w14:textId="1D47A72D" w:rsidR="00B23DF1" w:rsidRDefault="00603695">
      <w:pPr>
        <w:ind w:left="-15" w:right="35" w:firstLine="441"/>
      </w:pPr>
      <w:r w:rsidRPr="00603695">
        <w:t>The final sample for this systematic literature review comprised 25 empirical studies that investigated relationships between service quality, trust, and financial behavior within digital banking contexts. These studies collectively represent a substantial body of empirical evidence drawn from diverse geographic contexts, employing various methodological approaches, and examining different aspects of the digital banking phenomenon. Table 1 presents a detailed distribution of these studies organized by publication year, methodological approach, geographic focus, and sample size characteristics, providing an overview of the evidence base synthesized in this review.</w:t>
      </w:r>
    </w:p>
    <w:p w14:paraId="161C50D5" w14:textId="61714059" w:rsidR="00603695" w:rsidRDefault="00603695" w:rsidP="00603695">
      <w:pPr>
        <w:pBdr>
          <w:top w:val="nil"/>
          <w:left w:val="nil"/>
          <w:bottom w:val="nil"/>
          <w:right w:val="nil"/>
          <w:between w:val="nil"/>
        </w:pBdr>
        <w:spacing w:after="0" w:line="240" w:lineRule="auto"/>
        <w:ind w:right="0" w:firstLine="0"/>
        <w:jc w:val="center"/>
        <w:rPr>
          <w:rFonts w:ascii="Calibri" w:hAnsi="Calibri"/>
          <w:sz w:val="22"/>
          <w:szCs w:val="22"/>
        </w:rPr>
      </w:pPr>
      <w:r>
        <w:rPr>
          <w:rFonts w:ascii="Calibri" w:hAnsi="Calibri"/>
          <w:b/>
          <w:sz w:val="22"/>
          <w:szCs w:val="22"/>
        </w:rPr>
        <w:t>Table 1.</w:t>
      </w:r>
      <w:r>
        <w:rPr>
          <w:rFonts w:ascii="Calibri" w:hAnsi="Calibri"/>
          <w:sz w:val="22"/>
          <w:szCs w:val="22"/>
        </w:rPr>
        <w:t xml:space="preserve"> </w:t>
      </w:r>
      <w:r w:rsidRPr="00603695">
        <w:rPr>
          <w:rFonts w:ascii="Calibri" w:hAnsi="Calibri"/>
          <w:sz w:val="22"/>
          <w:szCs w:val="22"/>
        </w:rPr>
        <w:t>Characteristics of Included Studies (N=25)</w:t>
      </w:r>
    </w:p>
    <w:tbl>
      <w:tblPr>
        <w:tblStyle w:val="a8"/>
        <w:tblW w:w="7586" w:type="dxa"/>
        <w:jc w:val="center"/>
        <w:tblBorders>
          <w:top w:val="single" w:sz="4" w:space="0" w:color="7F7F7F"/>
          <w:bottom w:val="single" w:sz="4" w:space="0" w:color="7F7F7F"/>
        </w:tblBorders>
        <w:tblLayout w:type="fixed"/>
        <w:tblLook w:val="04A0" w:firstRow="1" w:lastRow="0" w:firstColumn="1" w:lastColumn="0" w:noHBand="0" w:noVBand="1"/>
      </w:tblPr>
      <w:tblGrid>
        <w:gridCol w:w="2430"/>
        <w:gridCol w:w="2160"/>
        <w:gridCol w:w="1350"/>
        <w:gridCol w:w="1646"/>
      </w:tblGrid>
      <w:tr w:rsidR="00603695" w14:paraId="4DDDF891" w14:textId="77777777" w:rsidTr="00603695">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430" w:type="dxa"/>
          </w:tcPr>
          <w:p w14:paraId="75225FD5" w14:textId="35D9273F"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r w:rsidRPr="00603695">
              <w:rPr>
                <w:b w:val="0"/>
                <w:bCs/>
              </w:rPr>
              <w:t>Characteristic</w:t>
            </w:r>
          </w:p>
        </w:tc>
        <w:tc>
          <w:tcPr>
            <w:tcW w:w="2160" w:type="dxa"/>
          </w:tcPr>
          <w:p w14:paraId="42C365D1" w14:textId="0DC8ACFE" w:rsidR="00603695" w:rsidRDefault="00603695" w:rsidP="00603695">
            <w:pPr>
              <w:pBdr>
                <w:top w:val="nil"/>
                <w:left w:val="nil"/>
                <w:bottom w:val="nil"/>
                <w:right w:val="nil"/>
                <w:between w:val="nil"/>
              </w:pBdr>
              <w:spacing w:after="0" w:line="240" w:lineRule="auto"/>
              <w:ind w:right="0"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Category</w:t>
            </w:r>
          </w:p>
        </w:tc>
        <w:tc>
          <w:tcPr>
            <w:tcW w:w="1350" w:type="dxa"/>
          </w:tcPr>
          <w:p w14:paraId="33B2A070" w14:textId="66A149DD" w:rsidR="00603695" w:rsidRDefault="00603695" w:rsidP="00603695">
            <w:pPr>
              <w:pBdr>
                <w:top w:val="nil"/>
                <w:left w:val="nil"/>
                <w:bottom w:val="nil"/>
                <w:right w:val="nil"/>
                <w:between w:val="nil"/>
              </w:pBdr>
              <w:spacing w:after="0" w:line="240" w:lineRule="auto"/>
              <w:ind w:right="0"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Frequency</w:t>
            </w:r>
          </w:p>
        </w:tc>
        <w:tc>
          <w:tcPr>
            <w:tcW w:w="1646" w:type="dxa"/>
          </w:tcPr>
          <w:p w14:paraId="5D25CB15" w14:textId="6DE231DC" w:rsidR="00603695" w:rsidRDefault="00603695" w:rsidP="00603695">
            <w:pPr>
              <w:pBdr>
                <w:top w:val="nil"/>
                <w:left w:val="nil"/>
                <w:bottom w:val="nil"/>
                <w:right w:val="nil"/>
                <w:between w:val="nil"/>
              </w:pBdr>
              <w:spacing w:after="0" w:line="240" w:lineRule="auto"/>
              <w:ind w:right="0"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Percentage</w:t>
            </w:r>
          </w:p>
        </w:tc>
      </w:tr>
      <w:tr w:rsidR="00603695" w14:paraId="40B85BB5" w14:textId="77777777" w:rsidTr="006036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val="restart"/>
          </w:tcPr>
          <w:p w14:paraId="49F03157" w14:textId="77777777"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r w:rsidRPr="00603695">
              <w:rPr>
                <w:b w:val="0"/>
                <w:bCs/>
              </w:rPr>
              <w:t>Publication Year</w:t>
            </w:r>
          </w:p>
          <w:p w14:paraId="5795BB93" w14:textId="06B7882F"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2649DBA2" w14:textId="21712D57"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2015-2017</w:t>
            </w:r>
          </w:p>
        </w:tc>
        <w:tc>
          <w:tcPr>
            <w:tcW w:w="1350" w:type="dxa"/>
          </w:tcPr>
          <w:p w14:paraId="2F84C6EB" w14:textId="0DE52200"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4</w:t>
            </w:r>
          </w:p>
        </w:tc>
        <w:tc>
          <w:tcPr>
            <w:tcW w:w="1646" w:type="dxa"/>
          </w:tcPr>
          <w:p w14:paraId="7A7B9889" w14:textId="406728FA"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16%</w:t>
            </w:r>
          </w:p>
        </w:tc>
      </w:tr>
      <w:tr w:rsidR="00603695" w14:paraId="77E896F6" w14:textId="77777777" w:rsidTr="00603695">
        <w:trPr>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7BA30358" w14:textId="1787BDF6"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37C449F2" w14:textId="07438C84"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2018-2020</w:t>
            </w:r>
          </w:p>
        </w:tc>
        <w:tc>
          <w:tcPr>
            <w:tcW w:w="1350" w:type="dxa"/>
          </w:tcPr>
          <w:p w14:paraId="2BFA7DC0" w14:textId="45726092"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9</w:t>
            </w:r>
          </w:p>
        </w:tc>
        <w:tc>
          <w:tcPr>
            <w:tcW w:w="1646" w:type="dxa"/>
          </w:tcPr>
          <w:p w14:paraId="00558FE0" w14:textId="35C7DEE7"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36%</w:t>
            </w:r>
          </w:p>
        </w:tc>
      </w:tr>
      <w:tr w:rsidR="00603695" w14:paraId="36D08C09" w14:textId="77777777" w:rsidTr="006036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30F44CBC" w14:textId="308A5387"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27309B65" w14:textId="71419484"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2021-2023</w:t>
            </w:r>
          </w:p>
        </w:tc>
        <w:tc>
          <w:tcPr>
            <w:tcW w:w="1350" w:type="dxa"/>
          </w:tcPr>
          <w:p w14:paraId="5CE31C48" w14:textId="7BEB906C"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8</w:t>
            </w:r>
          </w:p>
        </w:tc>
        <w:tc>
          <w:tcPr>
            <w:tcW w:w="1646" w:type="dxa"/>
          </w:tcPr>
          <w:p w14:paraId="0EC63608" w14:textId="6FC4B41F"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32%</w:t>
            </w:r>
          </w:p>
        </w:tc>
      </w:tr>
      <w:tr w:rsidR="00603695" w14:paraId="26F35A81" w14:textId="77777777" w:rsidTr="00603695">
        <w:trPr>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79990B0F" w14:textId="5A29ED3F"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7F4A3DD3" w14:textId="521C316D"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2024-2025</w:t>
            </w:r>
          </w:p>
        </w:tc>
        <w:tc>
          <w:tcPr>
            <w:tcW w:w="1350" w:type="dxa"/>
          </w:tcPr>
          <w:p w14:paraId="731D99A0" w14:textId="1EA10BA6"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4</w:t>
            </w:r>
          </w:p>
        </w:tc>
        <w:tc>
          <w:tcPr>
            <w:tcW w:w="1646" w:type="dxa"/>
          </w:tcPr>
          <w:p w14:paraId="5E32BFC3" w14:textId="35FF689E"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16%</w:t>
            </w:r>
          </w:p>
        </w:tc>
      </w:tr>
      <w:tr w:rsidR="00603695" w14:paraId="10BEF3D5" w14:textId="77777777" w:rsidTr="006036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val="restart"/>
          </w:tcPr>
          <w:p w14:paraId="277FA7F3" w14:textId="77777777"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r w:rsidRPr="00603695">
              <w:rPr>
                <w:b w:val="0"/>
                <w:bCs/>
              </w:rPr>
              <w:t>Methodology</w:t>
            </w:r>
          </w:p>
          <w:p w14:paraId="60E3CEDE" w14:textId="2320418E"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1E8409D8" w14:textId="6EDE3E0A"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Quantitative</w:t>
            </w:r>
          </w:p>
        </w:tc>
        <w:tc>
          <w:tcPr>
            <w:tcW w:w="1350" w:type="dxa"/>
          </w:tcPr>
          <w:p w14:paraId="557D965E" w14:textId="5EFEF6B3"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20</w:t>
            </w:r>
          </w:p>
        </w:tc>
        <w:tc>
          <w:tcPr>
            <w:tcW w:w="1646" w:type="dxa"/>
          </w:tcPr>
          <w:p w14:paraId="4A7A6C39" w14:textId="387C71DB"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80%</w:t>
            </w:r>
          </w:p>
        </w:tc>
      </w:tr>
      <w:tr w:rsidR="00603695" w14:paraId="3731D36B" w14:textId="77777777" w:rsidTr="00603695">
        <w:trPr>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089CF7EB" w14:textId="0EACD7A6"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08DF9511" w14:textId="48038C13"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Qualitative</w:t>
            </w:r>
          </w:p>
        </w:tc>
        <w:tc>
          <w:tcPr>
            <w:tcW w:w="1350" w:type="dxa"/>
          </w:tcPr>
          <w:p w14:paraId="33AC01A5" w14:textId="4B219064"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3</w:t>
            </w:r>
          </w:p>
        </w:tc>
        <w:tc>
          <w:tcPr>
            <w:tcW w:w="1646" w:type="dxa"/>
          </w:tcPr>
          <w:p w14:paraId="0466647A" w14:textId="495EFFA6"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12%</w:t>
            </w:r>
          </w:p>
        </w:tc>
      </w:tr>
      <w:tr w:rsidR="00603695" w14:paraId="6F18E9DF" w14:textId="77777777" w:rsidTr="006036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676CADC7" w14:textId="77777777"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4F5391F2" w14:textId="5C8259C5"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Mixed Methods</w:t>
            </w:r>
          </w:p>
        </w:tc>
        <w:tc>
          <w:tcPr>
            <w:tcW w:w="1350" w:type="dxa"/>
          </w:tcPr>
          <w:p w14:paraId="587E6510" w14:textId="0FBACBF0"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2</w:t>
            </w:r>
          </w:p>
        </w:tc>
        <w:tc>
          <w:tcPr>
            <w:tcW w:w="1646" w:type="dxa"/>
          </w:tcPr>
          <w:p w14:paraId="5412C4E8" w14:textId="0C2E62D9"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8%</w:t>
            </w:r>
          </w:p>
        </w:tc>
      </w:tr>
      <w:tr w:rsidR="00603695" w14:paraId="65AFD547" w14:textId="77777777" w:rsidTr="00603695">
        <w:trPr>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val="restart"/>
          </w:tcPr>
          <w:p w14:paraId="1ADA1EE7" w14:textId="77777777"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r w:rsidRPr="00603695">
              <w:rPr>
                <w:b w:val="0"/>
                <w:bCs/>
              </w:rPr>
              <w:t>Geographic Focus</w:t>
            </w:r>
          </w:p>
          <w:p w14:paraId="0E29C28E" w14:textId="22867242"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73197FA0" w14:textId="6A92DC32"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Indonesia</w:t>
            </w:r>
          </w:p>
        </w:tc>
        <w:tc>
          <w:tcPr>
            <w:tcW w:w="1350" w:type="dxa"/>
          </w:tcPr>
          <w:p w14:paraId="594B2EAD" w14:textId="1F16614D"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8</w:t>
            </w:r>
          </w:p>
        </w:tc>
        <w:tc>
          <w:tcPr>
            <w:tcW w:w="1646" w:type="dxa"/>
          </w:tcPr>
          <w:p w14:paraId="344211C0" w14:textId="389F9978"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32%</w:t>
            </w:r>
          </w:p>
        </w:tc>
      </w:tr>
      <w:tr w:rsidR="00603695" w14:paraId="70B6436B" w14:textId="77777777" w:rsidTr="006036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27674B3D" w14:textId="77777777"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40BE2087" w14:textId="5DCF69E8"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Other Asia</w:t>
            </w:r>
          </w:p>
        </w:tc>
        <w:tc>
          <w:tcPr>
            <w:tcW w:w="1350" w:type="dxa"/>
          </w:tcPr>
          <w:p w14:paraId="2A110CEE" w14:textId="791ED6E6"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10</w:t>
            </w:r>
          </w:p>
        </w:tc>
        <w:tc>
          <w:tcPr>
            <w:tcW w:w="1646" w:type="dxa"/>
          </w:tcPr>
          <w:p w14:paraId="58F2ABD1" w14:textId="2F272BCB"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40%</w:t>
            </w:r>
          </w:p>
        </w:tc>
      </w:tr>
      <w:tr w:rsidR="00603695" w14:paraId="7AB7BE98" w14:textId="77777777" w:rsidTr="00603695">
        <w:trPr>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21EA7D62" w14:textId="77777777"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p>
        </w:tc>
        <w:tc>
          <w:tcPr>
            <w:tcW w:w="2160" w:type="dxa"/>
          </w:tcPr>
          <w:p w14:paraId="3BD8D18C" w14:textId="0CC7D681"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Multiple Countries</w:t>
            </w:r>
          </w:p>
        </w:tc>
        <w:tc>
          <w:tcPr>
            <w:tcW w:w="1350" w:type="dxa"/>
          </w:tcPr>
          <w:p w14:paraId="3B8F9532" w14:textId="697CB87A"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7</w:t>
            </w:r>
          </w:p>
        </w:tc>
        <w:tc>
          <w:tcPr>
            <w:tcW w:w="1646" w:type="dxa"/>
          </w:tcPr>
          <w:p w14:paraId="07EBC380" w14:textId="70BE0133"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28%</w:t>
            </w:r>
          </w:p>
        </w:tc>
      </w:tr>
      <w:tr w:rsidR="00603695" w14:paraId="099A11FD" w14:textId="77777777" w:rsidTr="006036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val="restart"/>
          </w:tcPr>
          <w:p w14:paraId="3E8ADA6B" w14:textId="3CE03DFD" w:rsidR="00603695" w:rsidRPr="00603695" w:rsidRDefault="00603695" w:rsidP="00603695">
            <w:pPr>
              <w:pBdr>
                <w:top w:val="nil"/>
                <w:left w:val="nil"/>
                <w:bottom w:val="nil"/>
                <w:right w:val="nil"/>
                <w:between w:val="nil"/>
              </w:pBdr>
              <w:spacing w:after="0" w:line="240" w:lineRule="auto"/>
              <w:ind w:right="0" w:firstLine="0"/>
              <w:jc w:val="center"/>
              <w:rPr>
                <w:rFonts w:eastAsia="Times New Roman" w:cs="Times New Roman"/>
                <w:b w:val="0"/>
                <w:bCs/>
                <w:sz w:val="22"/>
                <w:szCs w:val="22"/>
              </w:rPr>
            </w:pPr>
            <w:r w:rsidRPr="00603695">
              <w:rPr>
                <w:b w:val="0"/>
                <w:bCs/>
              </w:rPr>
              <w:t>Sample Size</w:t>
            </w:r>
          </w:p>
        </w:tc>
        <w:tc>
          <w:tcPr>
            <w:tcW w:w="2160" w:type="dxa"/>
          </w:tcPr>
          <w:p w14:paraId="6FEA1768" w14:textId="4440FC69"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&lt; 200</w:t>
            </w:r>
          </w:p>
        </w:tc>
        <w:tc>
          <w:tcPr>
            <w:tcW w:w="1350" w:type="dxa"/>
          </w:tcPr>
          <w:p w14:paraId="650D3ABE" w14:textId="0C201DCB"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5</w:t>
            </w:r>
          </w:p>
        </w:tc>
        <w:tc>
          <w:tcPr>
            <w:tcW w:w="1646" w:type="dxa"/>
          </w:tcPr>
          <w:p w14:paraId="0290D723" w14:textId="47239976"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20%</w:t>
            </w:r>
          </w:p>
        </w:tc>
      </w:tr>
      <w:tr w:rsidR="00603695" w14:paraId="6CB87603" w14:textId="77777777" w:rsidTr="00603695">
        <w:trPr>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68E37A79" w14:textId="77777777" w:rsidR="00603695" w:rsidRDefault="00603695" w:rsidP="00603695">
            <w:pPr>
              <w:pBdr>
                <w:top w:val="nil"/>
                <w:left w:val="nil"/>
                <w:bottom w:val="nil"/>
                <w:right w:val="nil"/>
                <w:between w:val="nil"/>
              </w:pBdr>
              <w:spacing w:after="0" w:line="240" w:lineRule="auto"/>
              <w:ind w:right="0" w:firstLine="0"/>
              <w:jc w:val="center"/>
              <w:rPr>
                <w:rFonts w:eastAsia="Times New Roman" w:cs="Times New Roman"/>
                <w:sz w:val="22"/>
                <w:szCs w:val="22"/>
              </w:rPr>
            </w:pPr>
          </w:p>
        </w:tc>
        <w:tc>
          <w:tcPr>
            <w:tcW w:w="2160" w:type="dxa"/>
          </w:tcPr>
          <w:p w14:paraId="79DE58E2" w14:textId="3BC31DDB"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200-400</w:t>
            </w:r>
          </w:p>
        </w:tc>
        <w:tc>
          <w:tcPr>
            <w:tcW w:w="1350" w:type="dxa"/>
          </w:tcPr>
          <w:p w14:paraId="7EB92B1F" w14:textId="475D3A2B"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11</w:t>
            </w:r>
          </w:p>
        </w:tc>
        <w:tc>
          <w:tcPr>
            <w:tcW w:w="1646" w:type="dxa"/>
          </w:tcPr>
          <w:p w14:paraId="6204C9A4" w14:textId="5E8D54C4" w:rsidR="00603695" w:rsidRDefault="00603695" w:rsidP="00603695">
            <w:pPr>
              <w:pBdr>
                <w:top w:val="nil"/>
                <w:left w:val="nil"/>
                <w:bottom w:val="nil"/>
                <w:right w:val="nil"/>
                <w:between w:val="nil"/>
              </w:pBdr>
              <w:spacing w:after="0" w:line="240" w:lineRule="auto"/>
              <w:ind w:right="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767935">
              <w:t>44%</w:t>
            </w:r>
          </w:p>
        </w:tc>
      </w:tr>
      <w:tr w:rsidR="00603695" w14:paraId="1CBBAF35" w14:textId="77777777" w:rsidTr="006036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74CEF665" w14:textId="77777777" w:rsidR="00603695" w:rsidRDefault="00603695" w:rsidP="00603695">
            <w:pPr>
              <w:pBdr>
                <w:top w:val="nil"/>
                <w:left w:val="nil"/>
                <w:bottom w:val="nil"/>
                <w:right w:val="nil"/>
                <w:between w:val="nil"/>
              </w:pBdr>
              <w:spacing w:after="0" w:line="240" w:lineRule="auto"/>
              <w:ind w:right="0" w:firstLine="0"/>
              <w:jc w:val="center"/>
              <w:rPr>
                <w:rFonts w:eastAsia="Times New Roman" w:cs="Times New Roman"/>
                <w:sz w:val="22"/>
                <w:szCs w:val="22"/>
              </w:rPr>
            </w:pPr>
          </w:p>
        </w:tc>
        <w:tc>
          <w:tcPr>
            <w:tcW w:w="2160" w:type="dxa"/>
          </w:tcPr>
          <w:p w14:paraId="42CF853D" w14:textId="6EF9D88A"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&gt; 400</w:t>
            </w:r>
          </w:p>
        </w:tc>
        <w:tc>
          <w:tcPr>
            <w:tcW w:w="1350" w:type="dxa"/>
          </w:tcPr>
          <w:p w14:paraId="5A3E02EC" w14:textId="01F51136"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9</w:t>
            </w:r>
          </w:p>
        </w:tc>
        <w:tc>
          <w:tcPr>
            <w:tcW w:w="1646" w:type="dxa"/>
          </w:tcPr>
          <w:p w14:paraId="2E375B70" w14:textId="31A1E776" w:rsidR="00603695" w:rsidRDefault="00603695" w:rsidP="00603695">
            <w:pPr>
              <w:pBdr>
                <w:top w:val="nil"/>
                <w:left w:val="nil"/>
                <w:bottom w:val="nil"/>
                <w:right w:val="nil"/>
                <w:between w:val="nil"/>
              </w:pBdr>
              <w:spacing w:after="0" w:line="240" w:lineRule="auto"/>
              <w:ind w:right="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767935">
              <w:t>36%</w:t>
            </w:r>
          </w:p>
        </w:tc>
      </w:tr>
    </w:tbl>
    <w:p w14:paraId="54A02D82" w14:textId="77777777" w:rsidR="00603695" w:rsidRDefault="00603695">
      <w:pPr>
        <w:ind w:left="-15" w:right="35" w:firstLine="441"/>
      </w:pPr>
    </w:p>
    <w:p w14:paraId="08FE0D20" w14:textId="625596AC" w:rsidR="00603695" w:rsidRDefault="00603695">
      <w:pPr>
        <w:ind w:left="-15" w:right="35" w:firstLine="441"/>
      </w:pPr>
      <w:r w:rsidRPr="00603695">
        <w:t xml:space="preserve">The temporal distribution of included studies reveals sustained research interest in digital banking over the past decade, with a particularly notable concentration of studies published during the 2018-2023 period (68% of all studies), likely reflecting the accelerated digital transformation of banking services during and following the COVID-19 pandemic. The methodological distribution shows a strong predominance of quantitative approaches, primarily employing survey methodologies and structural equation modeling techniques to test </w:t>
      </w:r>
      <w:r w:rsidRPr="00603695">
        <w:lastRenderedPageBreak/>
        <w:t>hypothesized relationships between constructs. The geographic distribution reveals substantial representation of Asian contexts, with Indonesia alone accounting for nearly one-third of all studies, reflecting both the rapid growth of digital banking in this region and the specific focus of this review on emerging market contexts. Sample sizes varied considerably, with the majority of studies (80%) employing samples of 200 or more participants, providing reasonable statistical power for detecting relationships between variables.</w:t>
      </w:r>
    </w:p>
    <w:p w14:paraId="0DD2BA3E" w14:textId="20E785D5" w:rsidR="00603695" w:rsidRDefault="00603695" w:rsidP="00603695">
      <w:pPr>
        <w:pStyle w:val="Heading3"/>
        <w:ind w:firstLine="0"/>
      </w:pPr>
      <w:r w:rsidRPr="00603695">
        <w:t>Determinants of Digital Banking Adoption</w:t>
      </w:r>
    </w:p>
    <w:p w14:paraId="4843A9C7" w14:textId="77777777" w:rsidR="00603695" w:rsidRDefault="00603695" w:rsidP="00603695">
      <w:pPr>
        <w:ind w:left="-15" w:right="35" w:firstLine="441"/>
      </w:pPr>
      <w:r>
        <w:t>Systematic analysis of the included studies revealed several key determinants that consistently emerged as significant predictors of digital banking adoption, with trust and perceived service quality standing out as the most important and consistently significant factors across diverse contexts and methodological approaches.</w:t>
      </w:r>
    </w:p>
    <w:p w14:paraId="66D50B36" w14:textId="77777777" w:rsidR="00603695" w:rsidRDefault="00603695" w:rsidP="00603695">
      <w:pPr>
        <w:ind w:left="-15" w:right="35" w:firstLine="441"/>
      </w:pPr>
      <w:r>
        <w:t>Trust emerged across 18 studies (representing 72% of the total sample) as a critical predictor of both initial digital banking adoption decisions and continued usage patterns over time. The evidence consistently demonstrated that trust exerts both direct effects on usage intention and behavioral loyalty, as well as indirect effects through mediating variables such as satisfaction, perceived value, and affective commitment. The reported relationships between trust and behavioral intentions were consistently strong and positive, with standardized path coefficients (β) ranging from 0.42 to 0.78 across different studies and contexts (all p &lt; 0.001), indicating robust and substantial effects. These findings underscore that trust is not merely a peripheral concern but rather a fundamental prerequisite for customers to feel comfortable conducting financial transactions through digital channels.</w:t>
      </w:r>
    </w:p>
    <w:p w14:paraId="161C013E" w14:textId="77777777" w:rsidR="00603695" w:rsidRDefault="00603695" w:rsidP="00603695">
      <w:pPr>
        <w:ind w:left="-15" w:right="35" w:firstLine="441"/>
      </w:pPr>
      <w:r>
        <w:t>The formation of trust in digital banking contexts was found to be influenced by multiple antecedents operating simultaneously. Perceived security, examined in 15 of the included studies, emerged as the most frequently studied and consistently significant trust antecedent. Studies demonstrated that the presence of robust security features including encryption protocols, multi-factor authentication mechanisms, and biometric verification systems significantly enhanced customer trust in digital banking platforms. Privacy protection, specifically addressed in 12 studies, also played a crucial role in trust formation, with clear privacy policies and demonstrated organizational commitment to protecting customer data substantially increasing trust levels. Institutional reputation, examined in 11 studies, served as an important trust signal, particularly for customers who were new to digital banking or who had limited personal experience with the specific platform. The historical performance of the financial institution, its brand recognition, and its standing in the industry all contributed to initial trust formation. Prior positive experiences with digital services, whether with the same institution or other digital platforms, were identified in 10 studies as strengthening trust through a process of gradual trust building based on successful interactions and reliable service delivery.</w:t>
      </w:r>
    </w:p>
    <w:p w14:paraId="4B686D35" w14:textId="77777777" w:rsidR="00603695" w:rsidRDefault="00603695" w:rsidP="00603695">
      <w:pPr>
        <w:ind w:left="-15" w:right="35" w:firstLine="441"/>
      </w:pPr>
      <w:r>
        <w:t xml:space="preserve">Perceived service quality was examined as a determinant of digital banking adoption in 17 studies (68% of the sample) and was found to demonstrate significant positive effects on both customer satisfaction (β = 0.54-0.72 across studies) and loyalty to digital banking services (β = 0.48-0.68). The conceptualization and measurement of service quality varied somewhat across studies, but several key dimensions emerged consistently. System reliability and availability, referring to consistent uptime, minimal errors, and dependable performance, was identified as a fundamental service quality dimension that directly impacts user confidence and satisfaction. User interface design quality, encompassing intuitive navigation, visual appeal, </w:t>
      </w:r>
      <w:r>
        <w:lastRenderedPageBreak/>
        <w:t>and overall user experience, emerged as increasingly important in shaping service quality perceptions, particularly among younger and more digitally sophisticated users. Transaction efficiency, measured in terms of the speed and ease of completing various banking tasks, was consistently associated with higher service quality ratings and increased usage. Responsive customer support, including the availability and effectiveness of help services when problems arise, was recognized as an important service quality component that becomes particularly salient when users encounter difficulties. Personalization capabilities, including tailored recommendations and customized user experiences, emerged in more recent studies as an increasingly important dimension of service quality that differentiates superior from merely adequate digital banking services.</w:t>
      </w:r>
    </w:p>
    <w:p w14:paraId="00326140" w14:textId="77777777" w:rsidR="00603695" w:rsidRDefault="00603695" w:rsidP="00603695">
      <w:pPr>
        <w:ind w:left="-15" w:right="35" w:firstLine="441"/>
      </w:pPr>
      <w:r>
        <w:t>Consistent with predictions derived from the Technology Acceptance Model, perceived usefulness (examined in 14 studies) and perceived ease of use (examined in 13 studies) both emerged as significant determinants of adoption intentions. Interestingly, perceived usefulness demonstrated consistently stronger effects on usage intention (average β = 0.61 across studies) compared to perceived ease of use (average β = 0.44), suggesting that the functional benefits and practical advantages of digital banking outweigh concerns about ease of learning in driving adoption decisions. This pattern suggests that potential adopters are willing to invest effort in learning to use digital banking platforms if they perceive substantial practical benefits from doing so.</w:t>
      </w:r>
    </w:p>
    <w:p w14:paraId="5DA73479" w14:textId="27C9834F" w:rsidR="00603695" w:rsidRDefault="00603695" w:rsidP="00603695">
      <w:pPr>
        <w:ind w:left="-15" w:right="35" w:firstLine="441"/>
      </w:pPr>
      <w:r>
        <w:t>Nine studies that incorporated the Unified Theory of Acceptance and Use of Technology (UTAUT) framework found significant effects of social influence (β = 0.32-0.48 across studies) and facilitating conditions (β = 0.38-0.56) on adoption intentions. Social influence effects indicated that recommendations from peers, family members, and colleagues, as well as awareness of digital banking usage within one's social network, positively influenced individual adoption decisions through both informational influence (learning about benefits from others) and normative influence (conforming to social expectations). Facilitating conditions, encompassing both technical infrastructure such as reliable internet connectivity and organizational support such as help desk availability, were found to facilitate not just intentions but actual usage behavior by reducing practical barriers to adoption.</w:t>
      </w:r>
    </w:p>
    <w:p w14:paraId="65059D96" w14:textId="55F64C4F" w:rsidR="00603695" w:rsidRDefault="00603695" w:rsidP="00603695">
      <w:pPr>
        <w:pStyle w:val="Heading3"/>
        <w:ind w:firstLine="0"/>
      </w:pPr>
      <w:r w:rsidRPr="00603695">
        <w:t>Barriers to Digital Banking Adoption</w:t>
      </w:r>
    </w:p>
    <w:p w14:paraId="2553B792" w14:textId="77777777" w:rsidR="00603695" w:rsidRDefault="00603695" w:rsidP="00603695">
      <w:pPr>
        <w:ind w:left="-15" w:right="35" w:firstLine="441"/>
      </w:pPr>
      <w:r>
        <w:t>While the previous section identified factors that promote digital banking adoption, the included studies also systematically examined barriers that impede adoption, revealing several significant obstacles that financial institutions must address to expand digital banking usage.</w:t>
      </w:r>
    </w:p>
    <w:p w14:paraId="17B625FF" w14:textId="24FF5D82" w:rsidR="00603695" w:rsidRDefault="00603695" w:rsidP="00603695">
      <w:pPr>
        <w:ind w:left="-15" w:right="35" w:firstLine="441"/>
      </w:pPr>
      <w:r>
        <w:t xml:space="preserve">Perceived security risk emerged across 19 studies (76% of the total sample) as the most prominent and consistently significant barrier to digital banking adoption. Customers expressed multifaceted concerns about security that encompassed fears of data breaches and </w:t>
      </w:r>
      <w:r w:rsidR="00DE5A5D">
        <w:t>cyber-attacks</w:t>
      </w:r>
      <w:r>
        <w:t xml:space="preserve"> resulting in unauthorized access to sensitive financial information, risks of identity theft involving the misuse of personal information for fraudulent purposes, concerns about financial fraud including unauthorized transactions or account manipulation, and more general skepticism about technical vulnerabilities in digital banking systems. The strength of these concerns was reflected in the consistently strong negative relationships observed between perceived security risk and both trust (β = -0.54 to -0.72 across studies) and usage intention (β = -0.42 to -0.61). Notably, the impact of security concerns was found to be particularly pronounced among older customers and those with limited prior digital experience, suggesting </w:t>
      </w:r>
      <w:r>
        <w:lastRenderedPageBreak/>
        <w:t xml:space="preserve">that security concerns may be amplified by unfamiliarity with digital technologies and less developed mental models of how security </w:t>
      </w:r>
      <w:r w:rsidR="00DE5A5D">
        <w:t>protection’s</w:t>
      </w:r>
      <w:r>
        <w:t xml:space="preserve"> function.</w:t>
      </w:r>
    </w:p>
    <w:p w14:paraId="41DC65D4" w14:textId="77777777" w:rsidR="00603695" w:rsidRDefault="00603695" w:rsidP="00603695">
      <w:pPr>
        <w:ind w:left="-15" w:right="35" w:firstLine="441"/>
      </w:pPr>
      <w:r>
        <w:t>Technological complexity was identified in eight studies as a significant adoption barrier, particularly affecting less technologically sophisticated customers. Complex user interfaces that require extensive navigation to complete simple tasks, multiple authentication steps that add friction to the login process, unfamiliar terminology that creates confusion about functions and features, and the general learning curve associated with mastering new digital tools all created obstacles to adoption and sustained usage. This barrier was found to be particularly prevalent among populations with lower general digital literacy and among older demographic groups who may have less frequent exposure to digital technologies in other domains of their lives.</w:t>
      </w:r>
    </w:p>
    <w:p w14:paraId="594B2DE0" w14:textId="3F3B46B7" w:rsidR="00603695" w:rsidRDefault="00603695" w:rsidP="00603695">
      <w:pPr>
        <w:ind w:left="-15" w:right="35" w:firstLine="441"/>
      </w:pPr>
      <w:r>
        <w:t>Six studies reported that customer preference for human interaction in banking matters constituted an important adoption barrier for certain customer segments. Some customers, particularly when conducting complex transactions or seeking to resolve problems, placed high value on face-to-face interaction with knowledgeable bank staff. These customers perceived digital channels as impersonal, insufficient for their needs, or simply less satisfying than in-person service. This finding suggests that for some customers, the convenience benefits of digital banking may not fully compensate for the perceived loss of personal relationship and individualized attention associated with traditional branch banking.</w:t>
      </w:r>
    </w:p>
    <w:p w14:paraId="6BDBAA23" w14:textId="59B61CCA" w:rsidR="00603695" w:rsidRDefault="00603695" w:rsidP="00603695">
      <w:pPr>
        <w:pStyle w:val="Heading3"/>
        <w:ind w:firstLine="0"/>
      </w:pPr>
      <w:r w:rsidRPr="00603695">
        <w:t>Impact on Financial Behavior</w:t>
      </w:r>
    </w:p>
    <w:p w14:paraId="53D3FF82" w14:textId="77777777" w:rsidR="00603695" w:rsidRDefault="00603695" w:rsidP="00603695">
      <w:pPr>
        <w:ind w:left="-15" w:right="35" w:firstLine="441"/>
      </w:pPr>
      <w:r>
        <w:t>Beyond examining factors affecting adoption decisions, a subset of the included studies investigated how digital banking usage influences customers' broader financial management practices and behaviors, yielding important insights into the behavioral consequences of digital banking adoption.</w:t>
      </w:r>
    </w:p>
    <w:p w14:paraId="06FDF06D" w14:textId="77777777" w:rsidR="00603695" w:rsidRDefault="00603695" w:rsidP="00603695">
      <w:pPr>
        <w:ind w:left="-15" w:right="35" w:firstLine="441"/>
      </w:pPr>
      <w:r>
        <w:t>Twelve studies examined various ways in which digital banking services influenced customers' financial management practices and overall financial behavior. In the domain of transaction monitoring, digital banking platforms' provision of real-time transaction tracking capabilities was found to enable customers to maintain substantially better awareness of their spending patterns and current account status compared to traditional banking channels. Quantitative evidence from multiple studies indicated that between 68% and 82% of active digital banking users reported regularly checking their transaction history and account balances, compared to only 34% to 47% of customers relying primarily on traditional banking channels. This dramatic difference in monitoring frequency suggests that the reduced effort required to check account status through digital channels fundamentally changes customers' financial awareness and engagement patterns.</w:t>
      </w:r>
    </w:p>
    <w:p w14:paraId="56FD430A" w14:textId="77777777" w:rsidR="00603695" w:rsidRDefault="00603695" w:rsidP="00603695">
      <w:pPr>
        <w:ind w:left="-15" w:right="35" w:firstLine="441"/>
      </w:pPr>
      <w:r>
        <w:t>Regarding liquidity control and cash flow management, digital banking features including automatic alerts for account activity, automated spending categorization across different expense types, and budget tracking tools were found to substantially enhance customers' ability to manage cash flow effectively and avoid liquidity problems. Research evidence indicated that active digital banking users demonstrated 23% to 41% better liquidity management compared to non-users, as objectively measured through reduced frequency of overdraft incidents and more consistent patterns of maintaining adequate account balances and building savings over time. These findings suggest that digital banking tools serve not merely as passive information sources but as active aids in financial self-management.</w:t>
      </w:r>
    </w:p>
    <w:p w14:paraId="4D01AE60" w14:textId="77777777" w:rsidR="00603695" w:rsidRDefault="00603695" w:rsidP="00603695">
      <w:pPr>
        <w:ind w:left="-15" w:right="35" w:firstLine="441"/>
      </w:pPr>
      <w:r>
        <w:lastRenderedPageBreak/>
        <w:t>In terms of decision-making accuracy and quality, the provision of comprehensive financial information and analytical tools through digital banking platforms was found to improve the quality of financial decisions across multiple domains. Studies documented that digital banking users made more informed and objectively better choices regarding savings allocation strategies, evaluation of investment opportunities, and loan application decisions. The improved decision quality appeared to result from both better information availability and the analytical tools that help customers understand the implications of different financial choices.</w:t>
      </w:r>
    </w:p>
    <w:p w14:paraId="548B6740" w14:textId="392DC881" w:rsidR="00603695" w:rsidRDefault="00603695" w:rsidP="00603695">
      <w:pPr>
        <w:ind w:left="-15" w:right="35" w:firstLine="441"/>
      </w:pPr>
      <w:r>
        <w:t xml:space="preserve">Nine studies specifically investigated behavioral changes and shifts in financial habits associated with digital banking usage. In the area of saving behavior, automated savings features including scheduled transfers and goal-linked saving accounts, combined with goal-setting and progress-tracking tools, were found to correlate with 18% to 35% higher savings rates among digital banking users compared to non-users with similar demographic and income characteristics. This substantial difference suggests that digital banking tools can effectively support saving goals through commitment mechanisms and progress feedback that reinforce saving behavior. Concerning spending patterns, the increased transaction visibility and availability of spending alerts were associated with more controlled and deliberate spending patterns, with some evidence of reduced impulsive spending compared to patterns observed among non-users of digital banking. Finally, in the domain of financial planning, long-term financial planning tools and goal-setting features facilitated by digital platforms were found to correlate with more strategic and deliberate financial </w:t>
      </w:r>
      <w:r w:rsidR="00DE5A5D">
        <w:t>goal setting</w:t>
      </w:r>
      <w:r>
        <w:t xml:space="preserve"> and planning behavior, suggesting that digital banking may promote longer-term financial thinking and more systematic approaches to financial management.</w:t>
      </w:r>
    </w:p>
    <w:p w14:paraId="1240938C" w14:textId="0304DBF1" w:rsidR="00603695" w:rsidRDefault="00603695" w:rsidP="00603695">
      <w:pPr>
        <w:ind w:left="-15" w:right="35" w:firstLine="441"/>
      </w:pPr>
      <w:r>
        <w:t>Three studies specifically examined Bank Rakyat Indonesia's Qlola Internet Banking platform, providing valuable concrete evidence about the real-world impacts of a well-designed digital banking service in the Indonesian context. Findings from these studies indicated that Qlola users experienced a 34% improvement in transaction monitoring efficiency compared to their previous banking methods, reflecting the platform's effectiveness in providing timely and accessible financial information. Users also reported a 27% reduction in time spent on routine banking activities, freeing time for other productive or leisure activities. Customer satisfaction with financial management capabilities increased by 41% among Qlola users, indicating that the platform successfully met users' needs and expectations. Additionally, users reported enhanced accuracy in tracking both business and personal finances, with this benefit being particularly pronounced among micro-entrepreneurs who must carefully manage limited financial resources across personal and business domains. These positive outcomes were attributed to several design features of the Qlola platform including its user-friendly interface that minimizes the learning curve, its comprehensive feature set that addresses diverse customer needs, and its effective integration with other BRI services that creates a seamless banking experience.</w:t>
      </w:r>
    </w:p>
    <w:p w14:paraId="2593F6A6" w14:textId="56B0F628" w:rsidR="00603695" w:rsidRDefault="00603695" w:rsidP="00603695">
      <w:pPr>
        <w:pStyle w:val="Heading3"/>
        <w:ind w:firstLine="0"/>
      </w:pPr>
      <w:r w:rsidRPr="00603695">
        <w:t>Moderating and Mediating Effects</w:t>
      </w:r>
    </w:p>
    <w:p w14:paraId="1BB84922" w14:textId="77777777" w:rsidR="00603695" w:rsidRDefault="00603695" w:rsidP="00603695">
      <w:pPr>
        <w:ind w:left="-15" w:right="35" w:firstLine="441"/>
      </w:pPr>
      <w:r>
        <w:t>Beyond examining direct relationships between variables, several studies investigated more complex patterns involving mediating and moderating effects that provide deeper insights into the mechanisms and boundary conditions of digital banking adoption and usage.</w:t>
      </w:r>
    </w:p>
    <w:p w14:paraId="07DA6BBB" w14:textId="77777777" w:rsidR="00603695" w:rsidRDefault="00603695" w:rsidP="00603695">
      <w:pPr>
        <w:ind w:left="-15" w:right="35" w:firstLine="441"/>
      </w:pPr>
      <w:r>
        <w:t xml:space="preserve">Eight studies examined trust as a mediating variable in the relationship between service quality and various behavioral outcomes including usage intention, satisfaction, and loyalty. </w:t>
      </w:r>
      <w:r>
        <w:lastRenderedPageBreak/>
        <w:t>Results from these studies consistently supported either partial or full mediation effects, indicating that service quality influences behavioral outcomes primarily through its impact on trust formation rather than solely through direct effects. In other words, high service quality builds customer trust, and this trust in turn drives positive behavioral outcomes. Formal mediation analyses revealed that trust accounted for between 42% and 68% of the total effect of service quality on behavioral intentions across different studies and contexts. This substantial mediating role of trust underscores its central importance in the digital banking adoption process and suggests that service quality improvements that do not successfully enhance trust may have limited impact on actual adoption behavior.</w:t>
      </w:r>
    </w:p>
    <w:p w14:paraId="61639842" w14:textId="77777777" w:rsidR="00603695" w:rsidRDefault="00603695" w:rsidP="00603695">
      <w:pPr>
        <w:ind w:left="-15" w:right="35" w:firstLine="441"/>
      </w:pPr>
      <w:r>
        <w:t>Seven studies systematically investigated demographic factors as potential moderators of key relationships in digital banking adoption. Age was found to moderate several relationships, with ease of use showing stronger effects on adoption intentions for older users (those above 50 years of age) compared to younger users, presumably because older users have less accumulated experience with digital technologies and thus place greater weight on ease of use in their adoption decisions. Education level also emerged as a significant moderator, with higher education being associated with stronger effects of perceived usefulness on adoption intentions, suggesting that more educated users may be better able to recognize and appreciate the functional benefits of digital banking. Income level moderated the relationship between perceived security risk and adoption, with higher income groups showing lower sensitivity to security risks, possibly because they have more resources to absorb potential losses or because higher income correlates with greater digital sophistication. Finally, prior digital experience was found to strengthen the relationship between ease of use and adoption, as individuals with more extensive technology experience may be more confident in their ability to learn new digital systems and thus more willing to adopt based on perceived ease of use.</w:t>
      </w:r>
    </w:p>
    <w:p w14:paraId="248C941B" w14:textId="44D50613" w:rsidR="00603695" w:rsidRDefault="00603695" w:rsidP="00603695">
      <w:pPr>
        <w:ind w:left="-15" w:right="35" w:firstLine="441"/>
      </w:pPr>
      <w:r>
        <w:t>Four studies examined cultural factors as moderators of digital banking adoption relationships, finding that cultural values including uncertainty avoidance and power distance significantly moderated relationships between trust, service quality, and adoption behavior. In cultures characterized by high uncertainty avoidance, which includes Indonesia according to established cultural frameworks, security features and institutional reputation were found to play particularly critical roles in trust formation compared to cultures more comfortable with ambiguity and risk. This finding highlights the importance of adapting digital banking strategies to fit the cultural context in which they are deployed, as the relative importance of different trust-building mechanisms varies systematically across cultural contexts.</w:t>
      </w:r>
    </w:p>
    <w:p w14:paraId="5CFB0B98" w14:textId="0AEE5B6A" w:rsidR="00603695" w:rsidRDefault="00603695" w:rsidP="00603695">
      <w:pPr>
        <w:pStyle w:val="Heading3"/>
        <w:ind w:firstLine="0"/>
      </w:pPr>
      <w:r w:rsidRPr="00603695">
        <w:t>Synthesis of Key Relationships</w:t>
      </w:r>
    </w:p>
    <w:p w14:paraId="10239D40" w14:textId="1344A092" w:rsidR="00603695" w:rsidRDefault="00603695" w:rsidP="00603695">
      <w:pPr>
        <w:ind w:left="-15" w:right="35" w:firstLine="441"/>
      </w:pPr>
      <w:r w:rsidRPr="00603695">
        <w:t xml:space="preserve">Based on comprehensive analysis of the included studies and integration of findings across multiple studies and methodological approaches, an integrated conceptual framework was developed that synthesizes the relationships between service quality, trust, and financial behavior in digital banking. This framework, presented in Figure 1, provides a visual representation of the key constructs, their interrelationships, and the barriers that impede the process. The framework shows how multiple dimensions of service quality including system reliability, user interface quality, efficiency, customer support, and personalization, along with various trust antecedents including perceived security, privacy protection, institutional reputation, and prior experience, converge to build customer trust. Trust serves as a central mediating mechanism that influences usage intention, which in turn drives actual usage behavior. Actual usage of digital banking services then produces various financial behavior </w:t>
      </w:r>
      <w:r w:rsidRPr="00603695">
        <w:lastRenderedPageBreak/>
        <w:t xml:space="preserve">outcomes including improved transaction monitoring, better liquidity control, enhanced financial discipline, and higher quality decision-making. Throughout this process, several barriers including perceived security risk (identified as having the strongest negative effect), technological complexity, and preference for human interaction operate to impede adoption and usage. This integrated framework provides a comprehensive conceptual model that </w:t>
      </w:r>
      <w:r>
        <w:rPr>
          <w:rFonts w:eastAsia="Times New Roman" w:cs="Times New Roman"/>
          <w:b/>
          <w:bCs/>
          <w:noProof/>
        </w:rPr>
        <w:drawing>
          <wp:anchor distT="0" distB="0" distL="114300" distR="114300" simplePos="0" relativeHeight="251660288" behindDoc="0" locked="0" layoutInCell="1" allowOverlap="1" wp14:anchorId="2AFDAAA3" wp14:editId="1A525752">
            <wp:simplePos x="0" y="0"/>
            <wp:positionH relativeFrom="column">
              <wp:posOffset>800100</wp:posOffset>
            </wp:positionH>
            <wp:positionV relativeFrom="paragraph">
              <wp:posOffset>1152525</wp:posOffset>
            </wp:positionV>
            <wp:extent cx="4124325" cy="3276600"/>
            <wp:effectExtent l="0" t="0" r="9525"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124325" cy="3276600"/>
                    </a:xfrm>
                    <a:prstGeom prst="rect">
                      <a:avLst/>
                    </a:prstGeom>
                    <a:ln/>
                  </pic:spPr>
                </pic:pic>
              </a:graphicData>
            </a:graphic>
            <wp14:sizeRelH relativeFrom="margin">
              <wp14:pctWidth>0</wp14:pctWidth>
            </wp14:sizeRelH>
            <wp14:sizeRelV relativeFrom="margin">
              <wp14:pctHeight>0</wp14:pctHeight>
            </wp14:sizeRelV>
          </wp:anchor>
        </w:drawing>
      </w:r>
      <w:r w:rsidRPr="00603695">
        <w:t>synthesizes the empirical evidence reviewed in this study.</w:t>
      </w:r>
    </w:p>
    <w:p w14:paraId="6D59DE84" w14:textId="64F67C84" w:rsidR="00603695" w:rsidRDefault="00603695" w:rsidP="00603695">
      <w:pPr>
        <w:pBdr>
          <w:top w:val="nil"/>
          <w:left w:val="nil"/>
          <w:bottom w:val="nil"/>
          <w:right w:val="nil"/>
          <w:between w:val="nil"/>
        </w:pBdr>
        <w:spacing w:after="0" w:line="240" w:lineRule="auto"/>
        <w:ind w:right="0" w:firstLine="0"/>
        <w:jc w:val="center"/>
        <w:rPr>
          <w:rFonts w:ascii="Calibri" w:hAnsi="Calibri"/>
          <w:sz w:val="20"/>
          <w:szCs w:val="20"/>
        </w:rPr>
      </w:pPr>
      <w:r>
        <w:rPr>
          <w:rFonts w:ascii="Calibri" w:hAnsi="Calibri"/>
          <w:b/>
          <w:sz w:val="20"/>
          <w:szCs w:val="20"/>
        </w:rPr>
        <w:t>Figure 1.</w:t>
      </w:r>
      <w:r>
        <w:rPr>
          <w:rFonts w:ascii="Calibri" w:hAnsi="Calibri"/>
          <w:sz w:val="20"/>
          <w:szCs w:val="20"/>
        </w:rPr>
        <w:t xml:space="preserve"> </w:t>
      </w:r>
      <w:r w:rsidRPr="00603695">
        <w:rPr>
          <w:rFonts w:ascii="Calibri" w:hAnsi="Calibri"/>
          <w:sz w:val="20"/>
          <w:szCs w:val="20"/>
        </w:rPr>
        <w:t>Integrated Framework of Digital Banking Adoption and Behavioral Outcomes</w:t>
      </w:r>
    </w:p>
    <w:p w14:paraId="4B3CF220" w14:textId="368A5B60" w:rsidR="008C19E2" w:rsidRDefault="008C19E2" w:rsidP="008C19E2">
      <w:pPr>
        <w:pStyle w:val="Heading2"/>
        <w:ind w:left="-5" w:firstLine="0"/>
      </w:pPr>
      <w:r>
        <w:t xml:space="preserve">5. | DISCUSSION </w:t>
      </w:r>
    </w:p>
    <w:p w14:paraId="09A2CA65" w14:textId="6E2AF9C4" w:rsidR="008C19E2" w:rsidRDefault="008C19E2" w:rsidP="008C19E2">
      <w:pPr>
        <w:pStyle w:val="Heading3"/>
        <w:ind w:firstLine="0"/>
      </w:pPr>
      <w:r w:rsidRPr="008C19E2">
        <w:t>Principal Findings and Theoretical Implications</w:t>
      </w:r>
    </w:p>
    <w:p w14:paraId="643C9CF5" w14:textId="77777777" w:rsidR="008C19E2" w:rsidRDefault="008C19E2" w:rsidP="008C19E2">
      <w:pPr>
        <w:ind w:left="-15" w:right="35" w:firstLine="441"/>
      </w:pPr>
      <w:r>
        <w:t>This systematic literature review provides robust empirical evidence for the central and critical role that trust and service quality play in determining digital banking adoption decisions and shaping subsequent financial behavior outcomes. The findings both align with and substantially extend existing theoretical frameworks, particularly the Technology Acceptance Model which has long emphasized perceived usefulness and ease of use, and Trust-Commitment Theory which highlights the foundational importance of trust in relationship development and maintenance. The integration of evidence across 25 empirical studies conducted in diverse contexts provides a more comprehensive and nuanced understanding than any single study could offer.</w:t>
      </w:r>
    </w:p>
    <w:p w14:paraId="045E4145" w14:textId="77777777" w:rsidR="008C19E2" w:rsidRDefault="008C19E2" w:rsidP="008C19E2">
      <w:pPr>
        <w:ind w:left="-15" w:right="35" w:firstLine="441"/>
      </w:pPr>
      <w:r>
        <w:t xml:space="preserve">The overwhelming evidence for trust as the primary determinant of digital banking adoption, with trust identified as a critical factor in 72% of the reviewed studies, underscores the unique and distinctive challenges inherent in delivering financial services through digital channels. Unlike many other e-commerce contexts where the consequences of misplaced trust may be relatively minor and limited, banking inherently involves high-stake transactions, highly sensitive personal financial data, and substantial perceived risks of potentially severe financial loss. The formation and maintenance of trust in the complete absence of face-to-face interaction, which has historically been the foundation of banking relationships, requires financial institutions to deploy multiple complementary trust-building mechanisms </w:t>
      </w:r>
      <w:r>
        <w:lastRenderedPageBreak/>
        <w:t>simultaneously and continuously. The finding that trust partially or fully mediates the relationship between service quality and behavioral outcomes carries important theoretical implications that extend beyond the specific domain of digital banking. This mediation pattern suggests that service quality features function not merely as functional attributes that customers evaluate for their instrumental utility, but more importantly as signals of underlying trustworthiness and institutional reliability. This interpretation aligns with signaling theory, wherein observable characteristics and behaviors serve as indicators of unobservable qualities such as commitment to customer welfare, organizational competence, and reliability in fulfilling promises.</w:t>
      </w:r>
    </w:p>
    <w:p w14:paraId="2EFA9483" w14:textId="25779260" w:rsidR="008C19E2" w:rsidRDefault="008C19E2" w:rsidP="008C19E2">
      <w:pPr>
        <w:ind w:left="-15" w:right="35" w:firstLine="441"/>
      </w:pPr>
      <w:r>
        <w:t xml:space="preserve">The research synthesized in this review reveals that service quality in digital banking contexts extends substantially beyond the traditional banking service quality dimensions that have been studied extensively in the context of branch-based banking. While foundational dimensions such as reliability and responsiveness to customer needs remain important, digital-specific quality dimensions such as user interface design quality, continuous system availability, and sophisticated personalization capabilities have emerged as equally or even more critical factors in shaping customer perceptions and behaviors. This finding provides strong empirical support for the validity and utility of e-service quality frameworks specifically designed for digital </w:t>
      </w:r>
      <w:r w:rsidR="00DE5A5D">
        <w:t>contexts and</w:t>
      </w:r>
      <w:r>
        <w:t xml:space="preserve"> suggests that digital banking requires fundamentally distinct quality assessment approaches and management strategies compared to traditional branch-based banking. The relatively strong effect of personalization on service quality perceptions, explicitly identified in eight of the reviewed studies, reflects broader societal trends in digital service expectations that extend well beyond banking. Contemporary customers, having experienced highly personalized services from leading digital platforms in other domains such as retail and entertainment, increasingly expect that banking platforms will function not merely as passive transaction processing tools but as intelligent financial assistants that provide tailored insights, proactive recommendations, and customized experiences that adapt to individual needs and preferences.</w:t>
      </w:r>
    </w:p>
    <w:p w14:paraId="5BC11D02" w14:textId="5E203204" w:rsidR="00603695" w:rsidRDefault="008C19E2" w:rsidP="008C19E2">
      <w:pPr>
        <w:ind w:left="-15" w:right="35" w:firstLine="441"/>
      </w:pPr>
      <w:r>
        <w:t>The persistent identification of perceived security risk as the most significant barrier to digital banking adoption, even in studies conducted after many years of digital banking availability and continuous security improvements, suggests that security concerns are not merely temporary adoption hurdles that naturally dissipate as markets mature and technologies become familiar. Instead, they represent ongoing and fundamental trust challenges that require continuous attention, substantial investment, and proactive communication strategies. The consistently strong negative relationships observed between perceived security risk and both trust (β = -0.54 to -0.72 across studies) and usage intention (β = -0.42 to -0.61) indicate that security perceptions fundamentally shape customers' psychological comfort and willingness to engage with digital banking channels. This finding emphasizes that security must be treated not only as a technical infrastructure consideration to be handled by information technology departments, but as a central element of overall customer experience design and a critical focus of marketing and customer communication strategies.</w:t>
      </w:r>
    </w:p>
    <w:p w14:paraId="7FAA5473" w14:textId="1325F330" w:rsidR="008C19E2" w:rsidRDefault="008C19E2" w:rsidP="008C19E2">
      <w:pPr>
        <w:pStyle w:val="Heading3"/>
        <w:ind w:firstLine="0"/>
      </w:pPr>
      <w:r w:rsidRPr="008C19E2">
        <w:t>Impact on Financial Behavior: Beyond Adoption</w:t>
      </w:r>
    </w:p>
    <w:p w14:paraId="240DA796" w14:textId="77777777" w:rsidR="008C19E2" w:rsidRDefault="008C19E2" w:rsidP="008C19E2">
      <w:pPr>
        <w:ind w:left="-15" w:right="35" w:firstLine="441"/>
      </w:pPr>
      <w:r>
        <w:t xml:space="preserve">One of the most significant and novel contributions of this systematic review is the comprehensive documentation of how digital banking usage influences financial behavior in ways that extend well beyond the initial adoption decision. While much existing digital banking research has focused narrowly on understanding and predicting adoption, the evidence </w:t>
      </w:r>
      <w:r>
        <w:lastRenderedPageBreak/>
        <w:t>synthesized here demonstrates that digital banking has substantial effects on how customers manage their finances, make financial decisions, and develop financial habits over time. The empirical evidence that digital banking usage enhances transaction monitoring frequency and quality, improves liquidity control and cash flow management, and increases financial decision-making accuracy provides strong support for theoretical claims about the transformative potential of financial technology to improve consumer financial outcomes.</w:t>
      </w:r>
    </w:p>
    <w:p w14:paraId="3AE2E1F6" w14:textId="77777777" w:rsidR="008C19E2" w:rsidRDefault="008C19E2" w:rsidP="008C19E2">
      <w:pPr>
        <w:ind w:left="-15" w:right="35" w:firstLine="441"/>
      </w:pPr>
      <w:r>
        <w:t>The finding that digital banking users demonstrate significantly better transaction monitoring habits, with 68% to 82% of digital banking users regularly checking their transaction history compared to only 34% to 47% of traditional banking customers, suggests that real-time information access and reduced effort required to check account status fundamentally change how customers engage with and relate to their finances. This enhanced financial awareness and engagement likely operates through multiple reinforcing mechanisms including dramatically reduced information search costs that make monitoring nearly effortless, immediate feedback on financial decisions that creates tighter coupling between actions and consequences, and continuous reinforcement of financial status that keeps financial concerns more salient in daily life. The cumulative effect of these mechanisms is a qualitatively different relationship with personal finances characterized by greater awareness, engagement, and sense of control.</w:t>
      </w:r>
    </w:p>
    <w:p w14:paraId="2D03643F" w14:textId="1D087E85" w:rsidR="008C19E2" w:rsidRDefault="008C19E2" w:rsidP="008C19E2">
      <w:pPr>
        <w:ind w:left="-15" w:right="35" w:firstLine="441"/>
      </w:pPr>
      <w:r>
        <w:t>The substantial evidence of improved savings rates, with digital banking users showing 18% to 35% higher savings rates compared to non-</w:t>
      </w:r>
      <w:r w:rsidR="00DE5A5D">
        <w:t>users and</w:t>
      </w:r>
      <w:r>
        <w:t xml:space="preserve"> reduced impulsive spending patterns associated with digital banking usage indicates that the effects extend beyond mere convenience or efficiency to encompass genuine behavioral change with significant implications for financial wellbeing. These findings align well with principles from behavioral economics, particularly regarding the effectiveness of commitment devices and the importance of choice architecture in shaping financial decisions. Digital banking features such as automated savings transfers that remove the need for repeated effortful decisions, spending alerts that provide timely feedback on deviations from financial goals, and goal visualization tools that make abstract future outcomes more concrete and salient, all function as commitment devices that support self-control and facilitate achievement of long-term financial objectives that might otherwise be undermined by present bias and limited willpower.</w:t>
      </w:r>
    </w:p>
    <w:p w14:paraId="2450CB6F" w14:textId="7629A278" w:rsidR="00603695" w:rsidRDefault="008C19E2" w:rsidP="008C19E2">
      <w:pPr>
        <w:ind w:left="-15" w:right="35" w:firstLine="441"/>
      </w:pPr>
      <w:r>
        <w:t>The specific empirical findings regarding Bank Rakyat Indonesia's Qlola Internet Banking platform provide valuable practical validation of theoretical relationships and demonstrate that these effects are not merely theoretical possibilities but can be realized in actual commercial banking contexts. The documented improvements in transaction monitoring efficiency (34% improvement), substantial time savings (27% reduction in time spent on routine banking activities), and increased satisfaction with financial management capabilities (41% increase) demonstrate concretely that well-designed digital banking platforms can deliver tangible and meaningful benefits to customers that extend beyond mere convenience. The particularly strong benefits reported by micro-entrepreneurs using Qlola underscore digital banking's potential to support not only individual financial management but also small business development and entrepreneurial success. By significantly reducing the time and cognitive burden associated with financial management tasks, digital banking platforms enable small business owners to redirect attention and energy toward productive business activities that generate revenue and build enterprises, thereby potentially contributing to broader economic development objectives.</w:t>
      </w:r>
    </w:p>
    <w:p w14:paraId="46D5CB26" w14:textId="28ECE9E0" w:rsidR="008C19E2" w:rsidRDefault="008C19E2" w:rsidP="008C19E2">
      <w:pPr>
        <w:pStyle w:val="Heading3"/>
        <w:ind w:firstLine="0"/>
      </w:pPr>
      <w:r w:rsidRPr="008C19E2">
        <w:lastRenderedPageBreak/>
        <w:t>Contextual Considerations: The Indonesian and Emerging Market Context</w:t>
      </w:r>
    </w:p>
    <w:p w14:paraId="5EA1FC69" w14:textId="77777777" w:rsidR="008C19E2" w:rsidRDefault="008C19E2" w:rsidP="008C19E2">
      <w:pPr>
        <w:ind w:left="-15" w:right="35" w:firstLine="441"/>
      </w:pPr>
      <w:r>
        <w:t>The fact that eight of the reviewed studies (32% of the total sample) focused specifically on Indonesia provides particularly valuable insights into digital banking dynamics in emerging market contexts, where conditions may differ substantially from the developed market contexts that have dominated much digital banking research. Several contextual factors unique to or particularly salient in emerging markets significantly shape both the process of digital banking adoption and the outcomes that result from usage.</w:t>
      </w:r>
    </w:p>
    <w:p w14:paraId="075D437B" w14:textId="77777777" w:rsidR="008C19E2" w:rsidRDefault="008C19E2" w:rsidP="008C19E2">
      <w:pPr>
        <w:ind w:left="-15" w:right="35" w:firstLine="441"/>
      </w:pPr>
      <w:r>
        <w:t>Infrastructure and connectivity challenges, while not always explicitly measured or discussed in detail in the reviewed studies, clearly affect digital banking accessibility and usage patterns in emerging markets. Issues including inconsistent internet connectivity, limited availability of high-quality smartphones, inadequate electricity infrastructure, and uneven geographic distribution of technological resources create barriers to digital banking that are largely absent in developed markets. The finding that facilitating conditions showed relatively stronger effects in Indonesian studies compared to studies conducted in more developed contexts suggests that technical infrastructure remains a more salient and constraining consideration for potential adopters in emerging markets, where the assumption of ubiquitous connectivity and device availability that often prevails in developed markets cannot be taken for granted.</w:t>
      </w:r>
    </w:p>
    <w:p w14:paraId="1FF2786A" w14:textId="77777777" w:rsidR="008C19E2" w:rsidRDefault="008C19E2" w:rsidP="008C19E2">
      <w:pPr>
        <w:ind w:left="-15" w:right="35" w:firstLine="441"/>
      </w:pPr>
      <w:r>
        <w:t>The moderating effect of education level on digital banking adoption relationships highlights the critical importance of digital literacy in emerging market contexts where educational attainment varies widely across the population. The finding that ease of use shows stronger effects on adoption intentions for less educated users indicates that interface simplicity, intuitive design, and minimization of complexity in user experience are particularly critical for successfully reaching broader populations that include substantial segments with limited formal education. This finding suggests that digital banking platforms designed for emerging markets may need to place even greater emphasis on simplicity and ease of use than platforms designed for developed market contexts where higher average education levels and more extensive prior technology exposure create a more digitally sophisticated user base.</w:t>
      </w:r>
    </w:p>
    <w:p w14:paraId="704F30A8" w14:textId="34022CDC" w:rsidR="00603695" w:rsidRDefault="008C19E2" w:rsidP="008C19E2">
      <w:pPr>
        <w:ind w:left="-15" w:right="35" w:firstLine="441"/>
      </w:pPr>
      <w:r>
        <w:t>The finding that uncertainty avoidance and power distance, both dimensions of national culture identified in established cultural frameworks, moderate the relationships between trust, service quality, and adoption in Indonesian contexts suggests that cultural factors fundamentally shape how customers evaluate and respond to digital banking services. In cultures characterized by high uncertainty avoidance, which includes Indonesia and many other emerging markets, explicit and visible security features, strong institutional reputation, and clear evidence of regulatory oversight play more critical roles in trust formation than they might in cultures that are more comfortable with ambiguity and risk. This cultural dimension helps explain why Indonesian customers may place particularly heavy weight on security features and institutional credibility in their digital banking adoption decisions. These cultural considerations imply that effective digital banking strategies must be adapted thoughtfully to fit the cultural context in which they are deployed, rather than assuming that approaches successful in one cultural context will transfer automatically to others.</w:t>
      </w:r>
    </w:p>
    <w:p w14:paraId="13604E7C" w14:textId="004A47DA" w:rsidR="008C19E2" w:rsidRDefault="008C19E2" w:rsidP="008C19E2">
      <w:pPr>
        <w:pStyle w:val="Heading3"/>
        <w:ind w:firstLine="0"/>
      </w:pPr>
      <w:r w:rsidRPr="008C19E2">
        <w:t>Practical Implications for Banking Industry</w:t>
      </w:r>
    </w:p>
    <w:p w14:paraId="437C89DD" w14:textId="77777777" w:rsidR="008C19E2" w:rsidRDefault="008C19E2" w:rsidP="008C19E2">
      <w:pPr>
        <w:ind w:left="-15" w:right="35" w:firstLine="441"/>
      </w:pPr>
      <w:r>
        <w:t xml:space="preserve">The findings synthesized in this review yield several concrete and actionable implications for banking practitioners who are designing, implementing, or seeking to improve digital </w:t>
      </w:r>
      <w:r>
        <w:lastRenderedPageBreak/>
        <w:t>banking services and for managers responsible for digital banking strategy and customer acquisition.</w:t>
      </w:r>
    </w:p>
    <w:p w14:paraId="1BC1C5D2" w14:textId="77777777" w:rsidR="008C19E2" w:rsidRDefault="008C19E2" w:rsidP="008C19E2">
      <w:pPr>
        <w:ind w:left="-15" w:right="35" w:firstLine="441"/>
      </w:pPr>
      <w:r>
        <w:t>Given the central and foundational role of trust documented across the reviewed studies, banks must prioritize trust-building considerations in every aspect of digital platform design, marketing communication, and ongoing customer relationship management. Transparent security communication that clearly explains in accessible language the specific security measures implemented, the encryption protocols employed to protect data, and the fraud protection mechanisms available to customers is essential for building and maintaining trust. Visible credibility indicators including prominent display of security certifications, explicit evidence of regulatory compliance, and clear communication of industry affiliations and partnerships help establish institutional legitimacy and trustworthiness. Proactive risk management communication including regular updates on security enhancements, clear information about new threats and how the institution is addressing them, and transparent disclosure of any security incidents along with remediation efforts demonstrates ongoing commitment to security. Finally, responsive customer support that provides accessible, effective, and empathetic support channels for addressing customer concerns and problems promptly helps build trust through demonstrated commitment to customer welfare.</w:t>
      </w:r>
    </w:p>
    <w:p w14:paraId="73CEB74B" w14:textId="77777777" w:rsidR="008C19E2" w:rsidRDefault="008C19E2" w:rsidP="008C19E2">
      <w:pPr>
        <w:ind w:left="-15" w:right="35" w:firstLine="441"/>
      </w:pPr>
      <w:r>
        <w:t>Banks should invest comprehensively in service quality improvements across multiple dimensions rather than focusing narrowly on one or two aspects of the service experience. System reliability must be ensured through investment in robust infrastructure, redundant systems, and rapid problem resolution capabilities that minimize downtime and ensure consistent availability. User experience optimization should be pursued through regular usability testing with diverse user groups, continuous interface refinement based on user feedback and behavioral data, and attention to aesthetic as well as functional aspects of design. Personalization capabilities should be developed through investment in artificial intelligence and machine learning systems that can provide tailored financial advice, proactive recommendations, and customized experiences that adapt to individual patterns and preferences. Omnichannel integration that ensures seamless coordination between digital and traditional banking channels allows customers to move fluidly between channels based on their needs and preferences while maintaining continuity in their banking relationship.</w:t>
      </w:r>
    </w:p>
    <w:p w14:paraId="5C5AA650" w14:textId="77777777" w:rsidR="008C19E2" w:rsidRDefault="008C19E2" w:rsidP="008C19E2">
      <w:pPr>
        <w:ind w:left="-15" w:right="35" w:firstLine="441"/>
      </w:pPr>
      <w:r>
        <w:t>Given the persistent and substantial barrier posed by security concerns documented across the reviewed studies, banks must address security at multiple levels simultaneously. Multi-layered security implementation including robust authentication mechanisms such as biometrics and two-factor authentication, continuous monitoring for suspicious activity, and rapid response capabilities for potential security incidents provides the technical foundation for security. However, technical security measures alone are insufficient; they must be complemented by comprehensive customer education programs that help customers understand how security protections work, how to recognize and avoid common threats, and what specific actions they can take to protect themselves. Transparent incident response protocols that establish clear procedures for addressing any security incidents, maintaining open communication with affected customers, and demonstrating institutional accountability help maintain trust even when problems occur. Finally, explicit fraud protection guarantees that clearly communicate the institution's commitment to making customers whole in the event of unauthorized transactions help reduce perceived risk and increase willingness to engage with digital channels.</w:t>
      </w:r>
    </w:p>
    <w:p w14:paraId="145939EA" w14:textId="62011861" w:rsidR="00603695" w:rsidRDefault="008C19E2" w:rsidP="008C19E2">
      <w:pPr>
        <w:ind w:left="-15" w:right="35" w:firstLine="441"/>
      </w:pPr>
      <w:r>
        <w:lastRenderedPageBreak/>
        <w:t xml:space="preserve">To maximize the positive financial behavior benefits documented in the reviewed studies, banks should invest in developing behavioral features that go beyond basic transaction capabilities. Intelligent alerts and notifications that provide context-aware feedback to help customers manage spending relative to budgets, alert them to unusual activity, and remind them of upcoming financial commitments can actively support better financial management. </w:t>
      </w:r>
      <w:r w:rsidR="00DE5A5D">
        <w:t>Goal setting</w:t>
      </w:r>
      <w:r>
        <w:t xml:space="preserve"> and tracking tools that enable customers to define specific financial objectives, monitor progress toward those goals, and receive encouragement and guidance support long-term financial planning and discipline. Financial literacy integration through embedded educational content, contextual help, and personalized guidance can enhance customers' financial capability and empower them to make better financial decisions. Finally, thoughtful gamification elements including achievement recognition, progress visualization, and motivational features can encourage and reinforce positive financial behaviors without trivializing the serious nature of financial management.</w:t>
      </w:r>
    </w:p>
    <w:p w14:paraId="55BBE290" w14:textId="12DA7EDD" w:rsidR="008C19E2" w:rsidRDefault="008C19E2" w:rsidP="008C19E2">
      <w:pPr>
        <w:pStyle w:val="Heading3"/>
        <w:ind w:firstLine="0"/>
      </w:pPr>
      <w:r w:rsidRPr="008C19E2">
        <w:t>Policy Implications</w:t>
      </w:r>
    </w:p>
    <w:p w14:paraId="56340E2E" w14:textId="77777777" w:rsidR="008C19E2" w:rsidRDefault="008C19E2" w:rsidP="008C19E2">
      <w:pPr>
        <w:ind w:left="-15" w:right="35" w:firstLine="441"/>
      </w:pPr>
      <w:r>
        <w:t>The findings synthesized in this review also suggest several important considerations for policymakers and financial regulators who are responsible for creating the regulatory environment within which digital banking operates and for promoting financial inclusion and financial literacy among populations.</w:t>
      </w:r>
    </w:p>
    <w:p w14:paraId="2610F179" w14:textId="77777777" w:rsidR="008C19E2" w:rsidRDefault="008C19E2" w:rsidP="008C19E2">
      <w:pPr>
        <w:ind w:left="-15" w:right="35" w:firstLine="441"/>
      </w:pPr>
      <w:r>
        <w:t>Policymakers should establish and rigorously enforce comprehensive cybersecurity standards specifically designed for digital banking platforms. These standards should include mandatory security features that all digital banking platforms must implement, regular security audits conducted by qualified independent assessors, and clear incident reporting requirements that ensure transparency about security problems when they occur. Consumer protection regulations should be updated to specifically address the unique risks associated with digital banking, including clear allocation of liability for fraudulent transactions, establishment of effective dispute resolution mechanisms that can handle digital banking complaints efficiently, and requirements for transparent disclosure of terms, conditions, and risks associated with digital banking services. These regulatory protections are essential for building public trust in digital banking and ensuring that the growth of digital banking does not expose consumers to unacceptable risks.</w:t>
      </w:r>
    </w:p>
    <w:p w14:paraId="730C84F9" w14:textId="77777777" w:rsidR="008C19E2" w:rsidRDefault="008C19E2" w:rsidP="008C19E2">
      <w:pPr>
        <w:ind w:left="-15" w:right="35" w:firstLine="441"/>
      </w:pPr>
      <w:r>
        <w:t>The moderating effect of education and digital experience on digital banking adoption documented in the reviewed studies suggests a clear need for public initiatives designed to enhance digital financial literacy across the population. Government programs, potentially developed in partnership with financial institutions and educational organizations, could provide training programs, educational resources, and hands-on support to help citizens develop the skills and confidence needed to safely and effectively use digital banking services. Such initiatives should be targeted particularly toward underserved populations including elderly individuals, rural residents, and lower-income groups who may lack access to informal sources of digital skills development. Enhanced digital financial literacy not only promotes digital banking adoption but also helps ensure that those who adopt digital banking can use it safely and effectively.</w:t>
      </w:r>
    </w:p>
    <w:p w14:paraId="720AC359" w14:textId="42563261" w:rsidR="00603695" w:rsidRDefault="008C19E2" w:rsidP="008C19E2">
      <w:pPr>
        <w:ind w:left="-15" w:right="35" w:firstLine="441"/>
      </w:pPr>
      <w:r>
        <w:t xml:space="preserve">Recognition of digital banking's documented potential to enhance financial management capabilities and promote positive financial behaviors suggests that promotion of appropriate and well-designed digital banking services could serve broader financial inclusion objectives beyond simply expanding access to basic banking services. Policies that provide incentives for </w:t>
      </w:r>
      <w:r>
        <w:lastRenderedPageBreak/>
        <w:t>banks to develop accessible and affordable digital banking products specifically designed for underserved populations, that support infrastructure development to ensure digital banking accessibility in underserved areas, and that promote responsible innovation in digital banking features that support financial capability could expand financial access while simultaneously promoting positive financial behaviors and improving financial outcomes for vulnerable populations. Such policies recognize that financial inclusion is not merely about access to services but about enabling people to use financial services effectively to improve their financial wellbeing.</w:t>
      </w:r>
    </w:p>
    <w:p w14:paraId="54559377" w14:textId="7A8D4733" w:rsidR="008C19E2" w:rsidRDefault="008C19E2" w:rsidP="008C19E2">
      <w:pPr>
        <w:pStyle w:val="Heading3"/>
        <w:ind w:firstLine="0"/>
      </w:pPr>
      <w:r w:rsidRPr="008C19E2">
        <w:t>Limitations and Future Research Directions</w:t>
      </w:r>
    </w:p>
    <w:p w14:paraId="31729482" w14:textId="77777777" w:rsidR="008C19E2" w:rsidRDefault="008C19E2" w:rsidP="008C19E2">
      <w:pPr>
        <w:tabs>
          <w:tab w:val="left" w:pos="2085"/>
        </w:tabs>
        <w:ind w:left="-15" w:right="35" w:firstLine="441"/>
      </w:pPr>
      <w:r>
        <w:t>Several limitations of this systematic review and of the underlying literature it synthesizes suggest important directions for future research that could advance understanding of digital banking adoption and impacts beyond what current evidence supports.</w:t>
      </w:r>
    </w:p>
    <w:p w14:paraId="13B80CC8" w14:textId="77777777" w:rsidR="008C19E2" w:rsidRDefault="008C19E2" w:rsidP="008C19E2">
      <w:pPr>
        <w:tabs>
          <w:tab w:val="left" w:pos="2085"/>
        </w:tabs>
        <w:ind w:left="-15" w:right="35" w:firstLine="441"/>
      </w:pPr>
      <w:r>
        <w:t>The predominance of cross-sectional survey studies, which represented 80% of the quantitative studies included in this review, inherently limits the strength of causal inferences that can be drawn and constrains understanding of dynamic processes that unfold over time. Cross-sectional designs capture relationships at a single point in time but cannot definitively establish causal direction or track how relationships evolve. Future research should prioritize longitudinal research designs that follow the same individuals over extended periods to examine how relationships between trust, service quality, usage, and financial behaviors evolve over time, how trust develops progressively through accumulated experience, and how financial behavior changes emerge and stabilize following digital banking adoption. Experimental methods including randomized controlled trials and field experiments that manipulate specific features or interventions could establish causal effects of particular design elements, communication strategies, or support interventions on trust, adoption, and financial behaviors. Mixed methods research that combines quantitative measurement of relationships with qualitative exploration of customer experiences, decision-making processes, and the meanings customers attach to digital banking would provide richer understanding of the psychological processes underlying the statistical relationships documented in quantitative studies.</w:t>
      </w:r>
    </w:p>
    <w:p w14:paraId="16CF080F" w14:textId="321FB3B6" w:rsidR="008C19E2" w:rsidRDefault="008C19E2" w:rsidP="008C19E2">
      <w:pPr>
        <w:tabs>
          <w:tab w:val="left" w:pos="2085"/>
        </w:tabs>
        <w:ind w:left="-15" w:right="35" w:firstLine="441"/>
      </w:pPr>
      <w:r>
        <w:t xml:space="preserve">While this review included studies from multiple contexts and deliberately sought to incorporate research from emerging markets, certain populations and settings remain substantially underrepresented in the literature. Vulnerable populations including elderly users who may face </w:t>
      </w:r>
      <w:r w:rsidR="00DE5A5D">
        <w:t>challenges</w:t>
      </w:r>
      <w:r>
        <w:t xml:space="preserve"> with digital technologies, low-income customers who may lack resources for devices and connectivity, and persons with disabilities who may encounter accessibility barriers have received limited research attention. Rural versus urban contexts have been inadequately explored, with most studies focusing on urban populations and leaving rural digital banking adoption patterns, challenges, and impacts largely unexplored despite the potential importance of digital banking for expanding financial inclusion in geographically remote areas. Small and medium enterprise banking, and particularly the use of digital banking by micro-entrepreneurs and small business owners for business financial management, represents an important domain that has received insufficient research attention despite its potential significance for economic development.</w:t>
      </w:r>
    </w:p>
    <w:p w14:paraId="1F74F228" w14:textId="77777777" w:rsidR="008C19E2" w:rsidRDefault="008C19E2" w:rsidP="008C19E2">
      <w:pPr>
        <w:tabs>
          <w:tab w:val="left" w:pos="2085"/>
        </w:tabs>
        <w:ind w:left="-15" w:right="35" w:firstLine="441"/>
      </w:pPr>
      <w:r>
        <w:t xml:space="preserve">The rapid evolution of financial technology continuously introduces new technological capabilities and service models that are not adequately addressed in current literature, creating ongoing needs for research on emerging phenomena. Artificial intelligence and chatbot </w:t>
      </w:r>
      <w:r>
        <w:lastRenderedPageBreak/>
        <w:t>technologies are being increasingly integrated into digital banking platforms, but research on their effects on customer trust, service quality perceptions, customer satisfaction, and adoption remains limited. Blockchain technology and cryptocurrency integration into mainstream banking services raise new questions about trust, security perceptions, and adoption patterns that require investigation. Voice and conversational interfaces represent alternative interaction modalities that may have different implications for ease of use, accessibility, and adoption compared to traditional graphical interfaces. Embedded finance, wherein banking services are integrated seamlessly into non-financial platforms and contexts, represents a fundamental shift in how banking services are delivered and experienced that may have far-reaching implications for adoption patterns, usage behaviors, and customer relationships with financial institutions.</w:t>
      </w:r>
    </w:p>
    <w:p w14:paraId="205B8650" w14:textId="38198856" w:rsidR="00603695" w:rsidRDefault="008C19E2" w:rsidP="008C19E2">
      <w:pPr>
        <w:tabs>
          <w:tab w:val="left" w:pos="2085"/>
        </w:tabs>
        <w:ind w:left="-15" w:right="35" w:firstLine="441"/>
      </w:pPr>
      <w:r>
        <w:t xml:space="preserve">While this review has documented statistical relationships between digital banking usage and various financial behavior outcomes, the psychological and behavioral mechanisms that underlie these relationships remain inadequately explored and represent important directions for future research. Research on information processing should investigate how customers </w:t>
      </w:r>
      <w:r w:rsidR="00DE5A5D">
        <w:t>process</w:t>
      </w:r>
      <w:r>
        <w:t xml:space="preserve"> and utilize the financial information provided through digital platforms, what information is most influential in shaping decisions, and how information presentation affects comprehension and use. Research on behavioral nudges should systematically examine what specific design features, information framings, and choice architectures most effectively promote positive financial behaviors and through what psychological mechanisms these effects operate. Research on habit formation should investigate how digital banking usage develops into habitual behavior that occurs automatically with minimal conscious deliberation, what factors influence the speed and strength of habit formation, and how habits can be deliberately shaped to promote positive financial behaviors. Finally, research on social dynamics should examine how social networks and peer effects influence digital banking adoption and usage patterns, how social information and social comparison processes affect financial behaviors in digital contexts, and how digital platforms might leverage social dynamics to promote positive financial behaviors.</w:t>
      </w:r>
    </w:p>
    <w:p w14:paraId="11CBCF24" w14:textId="12922527" w:rsidR="00B23DF1" w:rsidRDefault="008C19E2">
      <w:pPr>
        <w:pStyle w:val="Heading2"/>
        <w:ind w:left="-5" w:firstLine="0"/>
      </w:pPr>
      <w:r>
        <w:t xml:space="preserve">6. | CONCLUSION </w:t>
      </w:r>
    </w:p>
    <w:p w14:paraId="6AC4A3F4" w14:textId="77777777" w:rsidR="008C19E2" w:rsidRDefault="008C19E2" w:rsidP="008C19E2">
      <w:pPr>
        <w:ind w:left="-15" w:right="35" w:firstLine="441"/>
      </w:pPr>
      <w:r>
        <w:t>This systematic literature review has synthesized and integrated empirical evidence from 25 carefully selected studies to elucidate the complex relationships between service quality, trust, and financial behavior in digital banking contexts. Through rigorous systematic analysis, the review has identified trust and perceived service quality as the strongest and most consistent determinants of digital banking adoption and continued usage, while simultaneously documenting that perceived security risk represents the most significant barrier that impedes adoption across diverse contexts and customer segments.</w:t>
      </w:r>
    </w:p>
    <w:p w14:paraId="14D2B544" w14:textId="77777777" w:rsidR="008C19E2" w:rsidRDefault="008C19E2" w:rsidP="008C19E2">
      <w:pPr>
        <w:ind w:left="-15" w:right="35" w:firstLine="441"/>
      </w:pPr>
      <w:r>
        <w:t>The first key conclusion emerging from this comprehensive synthesis is that customer trust stands as the paramount factor in digital banking adoption and usage. Trust emerges as the central psychological mechanism through which service quality and other antecedent factors influence behavioral intentions and actual usage behavior. Building and maintaining trust requires multifaceted and sustained strategies that simultaneously address security provisions, privacy protections, service reliability, and responsive customer support. Financial institutions cannot afford to treat trust as a peripheral concern but must recognize it as foundational to successful digital banking.</w:t>
      </w:r>
    </w:p>
    <w:p w14:paraId="72809B49" w14:textId="77777777" w:rsidR="008C19E2" w:rsidRDefault="008C19E2" w:rsidP="008C19E2">
      <w:pPr>
        <w:ind w:left="-15" w:right="35" w:firstLine="441"/>
      </w:pPr>
      <w:r>
        <w:lastRenderedPageBreak/>
        <w:t>The second key conclusion is that service quality in digital banking extends substantially beyond basic functionality and technical performance. In digital banking contexts, service quality encompasses not only traditional dimensions such as system reliability and operational efficiency but also digital-specific dimensions including user experience design quality, personalization capabilities, and seamless integration across multiple channels. These multiple dimensions collectively shape customer satisfaction, loyalty, and ultimately the success of digital banking initiatives. Financial institutions must therefore adopt comprehensive approaches to service quality that address all of these dimensions rather than focusing narrowly on any single aspect.</w:t>
      </w:r>
    </w:p>
    <w:p w14:paraId="4AD23874" w14:textId="77777777" w:rsidR="008C19E2" w:rsidRDefault="008C19E2" w:rsidP="008C19E2">
      <w:pPr>
        <w:ind w:left="-15" w:right="35" w:firstLine="441"/>
      </w:pPr>
      <w:r>
        <w:t>The third key conclusion concerns the persistent nature of security concerns as a barrier to digital banking adoption. Despite continuous technological advances and many years of digital banking availability in most markets, perceived security risk remains a critical barrier that prevents or delays adoption for substantial segments of customers. Addressing this barrier effectively requires not only implementing robust technical security measures but also communicating clearly and effectively about these measures to customers, educating customers about security, and providing explicit guarantees that reduce perceived risk.</w:t>
      </w:r>
    </w:p>
    <w:p w14:paraId="7DCC9A92" w14:textId="77777777" w:rsidR="008C19E2" w:rsidRDefault="008C19E2" w:rsidP="008C19E2">
      <w:pPr>
        <w:ind w:left="-15" w:right="35" w:firstLine="441"/>
      </w:pPr>
      <w:r>
        <w:t>The fourth key conclusion relates to the transformative impact of digital banking on financial behavior that extends well beyond mere convenience. Digital banking services demonstrably enhance customers' financial management capabilities in multiple domains including transaction monitoring, liquidity control, and decision-making accuracy. These improvements in financial management capabilities translate into concrete behavioral changes including increased savings rates, more controlled spending patterns, and more strategic financial planning. These behavioral changes have significant implications for individual financial wellbeing and suggest that promoting appropriate digital banking adoption could serve broader financial capability and wellbeing objectives.</w:t>
      </w:r>
    </w:p>
    <w:p w14:paraId="2D52CA7A" w14:textId="77777777" w:rsidR="008C19E2" w:rsidRDefault="008C19E2" w:rsidP="008C19E2">
      <w:pPr>
        <w:ind w:left="-15" w:right="35" w:firstLine="441"/>
      </w:pPr>
      <w:r>
        <w:t>The fifth key conclusion emphasizes that context matters fundamentally in digital banking adoption and impacts. The effectiveness of different digital banking adoption strategies and the relative importance of various factors vary systematically across different contexts defined by cultural values, infrastructure availability, prevailing levels of digital literacy, and demographic characteristics of the population. These contextual differences necessitate context-sensitive approaches that are thoughtfully adapted to local conditions rather than one-size-fits-all strategies that assume universal applicability.</w:t>
      </w:r>
    </w:p>
    <w:p w14:paraId="5C2E727A" w14:textId="77777777" w:rsidR="008C19E2" w:rsidRDefault="008C19E2" w:rsidP="008C19E2">
      <w:pPr>
        <w:ind w:left="-15" w:right="35" w:firstLine="441"/>
      </w:pPr>
      <w:r>
        <w:t>The sixth key conclusion points to the practical validation provided by the specific case of Bank Rakyat Indonesia's Qlola Internet Banking platform. The documented measurable improvements in financial management efficiency, substantial time savings, and increased customer satisfaction, particularly among micro-entrepreneurs and small business owners, demonstrate concretely that the theoretical relationships identified in research can be realized in actual commercial banking practice through thoughtful design and implementation.</w:t>
      </w:r>
    </w:p>
    <w:p w14:paraId="7CEA8915" w14:textId="77777777" w:rsidR="008C19E2" w:rsidRDefault="008C19E2" w:rsidP="008C19E2">
      <w:pPr>
        <w:ind w:left="-15" w:right="35" w:firstLine="441"/>
      </w:pPr>
      <w:r>
        <w:t xml:space="preserve">This review makes several important theoretical contributions to the digital banking literature that extend beyond simply summarizing existing findings. By integrating and synthesizing evidence across studies that employed different theoretical frameworks including the Technology Acceptance Model, the Unified Theory of Acceptance and Use of Technology, Trust-Commitment Theory, and the Theory of Planned Behavior, this review demonstrates how these different theoretical perspectives offer complementary insights that together provide richer understanding than any single perspective could offer. Trust emerges from this </w:t>
      </w:r>
      <w:r>
        <w:lastRenderedPageBreak/>
        <w:t>integration as a critical bridge construct that links technology acceptance constructs to longer-term behavioral outcomes and relationship quality.</w:t>
      </w:r>
    </w:p>
    <w:p w14:paraId="4C99F7DE" w14:textId="77777777" w:rsidR="008C19E2" w:rsidRDefault="008C19E2" w:rsidP="008C19E2">
      <w:pPr>
        <w:ind w:left="-15" w:right="35" w:firstLine="441"/>
      </w:pPr>
      <w:r>
        <w:t>The review extends understanding beyond the adoption decision that has dominated much research to document and synthesize evidence on post-adoption behavioral consequences. While much digital banking research has focused narrowly on understanding what factors predict initial adoption, this review demonstrates that digital banking usage has substantial and meaningful effects on broader financial management practices and financial discipline that extend well beyond the adoption decision itself. This extension of the research focus has important implications for how we evaluate the success and impact of digital banking.</w:t>
      </w:r>
    </w:p>
    <w:p w14:paraId="49C6E89F" w14:textId="77777777" w:rsidR="008C19E2" w:rsidRDefault="008C19E2" w:rsidP="008C19E2">
      <w:pPr>
        <w:ind w:left="-15" w:right="35" w:firstLine="441"/>
      </w:pPr>
      <w:r>
        <w:t>The review also contributes to contextualizing supposedly universal constructs by revealing how constructs such as trust and service quality, while conceptually applicable across contexts, operate differently across cultural and socioeconomic contexts in ways that have important theoretical and practical implications. This contextualization contributes to developing more nuanced theoretical understanding of technology adoption in diverse markets rather than assuming that relationships identified in one context will necessarily apply unchanged in others.</w:t>
      </w:r>
    </w:p>
    <w:p w14:paraId="6ED707F5" w14:textId="77777777" w:rsidR="008C19E2" w:rsidRDefault="008C19E2" w:rsidP="008C19E2">
      <w:pPr>
        <w:ind w:left="-15" w:right="35" w:firstLine="441"/>
      </w:pPr>
      <w:r>
        <w:t>For banking practitioners, this review offers concrete evidence-based guidance for digital banking strategy development and implementation. The findings indicate clear design priorities that should guide platform development: prioritizing trust-building features including security, privacy protections, and transparency, while simultaneously ensuring comprehensive service quality across multiple dimensions including reliability, user experience, and personalization. Communication strategies should be developed that specifically and explicitly address security concerns, particularly for customer segments that show higher perceived risk including older users and those with limited digital experience. Feature development should invest in behavioral features including alerts, goal-setting tools, and financial planning capabilities that leverage digital banking's potential to actively support improved customer financial management rather than serving merely as transaction processing channels. Finally, banks should recognize that different customer segments respond to different factors and should customize approaches based on demographic characteristics, cultural backgrounds, and levels of prior experience rather than assuming that a single approach will be equally effective for all segments.</w:t>
      </w:r>
    </w:p>
    <w:p w14:paraId="4A5926EF" w14:textId="77777777" w:rsidR="008C19E2" w:rsidRDefault="008C19E2" w:rsidP="008C19E2">
      <w:pPr>
        <w:ind w:left="-15" w:right="35" w:firstLine="441"/>
      </w:pPr>
      <w:r>
        <w:t>For policymakers and financial regulators, this review suggests several important policy priorities. Consumer protection frameworks must establish and rigorously enforce robust security standards, ensure clear allocation of fraud liability that protects consumers, and provide effective dispute resolution mechanisms specifically designed for digital banking contexts. Digital literacy initiatives should be supported and expanded, with public programs potentially developed in partnership with financial institutions to provide training, resources, and support to help citizens safely and effectively use digital banking services. Financial inclusion strategies should recognize digital banking's potential to enhance financial management and promote positive behaviors, with policies designed to incentivize development of accessible and affordable digital banking products for underserved populations while ensuring appropriate consumer protections.</w:t>
      </w:r>
    </w:p>
    <w:p w14:paraId="59376C13" w14:textId="77777777" w:rsidR="008C19E2" w:rsidRDefault="008C19E2" w:rsidP="008C19E2">
      <w:pPr>
        <w:ind w:left="-15" w:right="35" w:firstLine="441"/>
      </w:pPr>
      <w:r>
        <w:t xml:space="preserve">The digital transformation of banking represents far more than a technological upgrade or operational improvement; it constitutes a fundamental shift in how financial services are delivered, experienced, and integrated into customers' daily lives. This comprehensive review </w:t>
      </w:r>
      <w:r>
        <w:lastRenderedPageBreak/>
        <w:t>demonstrates clearly that successful digital banking depends not merely on technological sophistication or advanced features but fundamentally on understanding and thoughtfully addressing the psychological, behavioral, and contextual factors that shape customer adoption decisions and usage patterns.</w:t>
      </w:r>
    </w:p>
    <w:p w14:paraId="3E39F928" w14:textId="77777777" w:rsidR="008C19E2" w:rsidRDefault="008C19E2" w:rsidP="008C19E2">
      <w:pPr>
        <w:ind w:left="-15" w:right="35" w:firstLine="441"/>
      </w:pPr>
      <w:r>
        <w:t>As digital banking continues its rapid evolution with emerging technologies including artificial intelligence, blockchain, and embedded finance creating new possibilities and challenges, the foundational importance of trust and service quality identified in this review is likely to persist. Financial institutions that consistently prioritize trust-building, that deliver superior service quality across multiple complementary dimensions, and that design platforms to actively support positive financial behaviors rather than simply facilitating transactions will be best positioned to thrive in the increasingly competitive digital banking ecosystem.</w:t>
      </w:r>
    </w:p>
    <w:p w14:paraId="05565325" w14:textId="51184EB8" w:rsidR="00B23DF1" w:rsidRDefault="008C19E2" w:rsidP="008C19E2">
      <w:pPr>
        <w:ind w:left="-15" w:right="35" w:firstLine="441"/>
      </w:pPr>
      <w:r>
        <w:t>The evidence systematically synthesized in this review suggests compellingly that digital banking, when properly designed with attention to both functional and psychological factors and effectively implemented with appropriate security and support, can deliver substantial benefits that extend well beyond institutional operational efficiency to encompass meaningful improvements in customer financial wellbeing. Fully realizing this significant potential requires sustained commitment to continued research that extends and refines current understanding, thoughtful design that places customer needs and concerns at the center, effective regulation that balances innovation enablement with consumer protection, and genuine customer-centered innovation that seeks to serve customer interests rather than purely institutional objectives.</w:t>
      </w:r>
    </w:p>
    <w:p w14:paraId="5BC06BFC" w14:textId="77777777" w:rsidR="00B23DF1" w:rsidRDefault="00000000">
      <w:r>
        <w:rPr>
          <w:noProof/>
        </w:rPr>
        <mc:AlternateContent>
          <mc:Choice Requires="wps">
            <w:drawing>
              <wp:anchor distT="0" distB="0" distL="114300" distR="114300" simplePos="0" relativeHeight="251658240" behindDoc="0" locked="0" layoutInCell="1" hidden="0" allowOverlap="1" wp14:anchorId="03EFB7C4" wp14:editId="1E697E65">
                <wp:simplePos x="0" y="0"/>
                <wp:positionH relativeFrom="column">
                  <wp:posOffset>12701</wp:posOffset>
                </wp:positionH>
                <wp:positionV relativeFrom="paragraph">
                  <wp:posOffset>152400</wp:posOffset>
                </wp:positionV>
                <wp:extent cx="0" cy="12700"/>
                <wp:effectExtent l="0" t="0" r="0" b="0"/>
                <wp:wrapNone/>
                <wp:docPr id="2128715103" name="Straight Arrow Connector 2128715103"/>
                <wp:cNvGraphicFramePr/>
                <a:graphic xmlns:a="http://schemas.openxmlformats.org/drawingml/2006/main">
                  <a:graphicData uri="http://schemas.microsoft.com/office/word/2010/wordprocessingShape">
                    <wps:wsp>
                      <wps:cNvCnPr/>
                      <wps:spPr>
                        <a:xfrm>
                          <a:off x="2483004" y="3780000"/>
                          <a:ext cx="5725993" cy="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0" cy="12700"/>
                <wp:effectExtent b="0" l="0" r="0" t="0"/>
                <wp:wrapNone/>
                <wp:docPr id="212871510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14:paraId="7FFB8F90" w14:textId="77777777" w:rsidR="00B23DF1" w:rsidRPr="00DE5A5D" w:rsidRDefault="00000000">
      <w:pPr>
        <w:pStyle w:val="Heading2"/>
        <w:rPr>
          <w:highlight w:val="yellow"/>
        </w:rPr>
      </w:pPr>
      <w:r w:rsidRPr="00DE5A5D">
        <w:rPr>
          <w:sz w:val="26"/>
          <w:szCs w:val="26"/>
          <w:highlight w:val="yellow"/>
        </w:rPr>
        <w:t>Acknowledgement (if any)</w:t>
      </w:r>
      <w:r w:rsidRPr="00DE5A5D">
        <w:rPr>
          <w:highlight w:val="yellow"/>
        </w:rPr>
        <w:t xml:space="preserve"> </w:t>
      </w:r>
      <w:r w:rsidRPr="00DE5A5D">
        <w:rPr>
          <w:rFonts w:ascii="Times New Roman" w:eastAsia="Times New Roman" w:hAnsi="Times New Roman" w:cs="Times New Roman"/>
          <w:b w:val="0"/>
          <w:color w:val="000000"/>
          <w:sz w:val="24"/>
          <w:highlight w:val="yellow"/>
        </w:rPr>
        <w:t>Give credit to those involved in the success of your article. Do not describe in detail what their contributions are, and how they help you.</w:t>
      </w:r>
    </w:p>
    <w:p w14:paraId="70BF9287" w14:textId="77777777" w:rsidR="00B23DF1" w:rsidRPr="00DE5A5D" w:rsidRDefault="00000000">
      <w:pPr>
        <w:pStyle w:val="Heading2"/>
        <w:rPr>
          <w:b w:val="0"/>
          <w:highlight w:val="yellow"/>
        </w:rPr>
      </w:pPr>
      <w:r w:rsidRPr="00DE5A5D">
        <w:rPr>
          <w:sz w:val="26"/>
          <w:szCs w:val="26"/>
          <w:highlight w:val="yellow"/>
        </w:rPr>
        <w:t>Declaration of Conflicting Interests</w:t>
      </w:r>
      <w:r w:rsidRPr="00DE5A5D">
        <w:rPr>
          <w:highlight w:val="yellow"/>
        </w:rPr>
        <w:t xml:space="preserve"> </w:t>
      </w:r>
      <w:r w:rsidRPr="00DE5A5D">
        <w:rPr>
          <w:rFonts w:ascii="Times New Roman" w:eastAsia="Times New Roman" w:hAnsi="Times New Roman" w:cs="Times New Roman"/>
          <w:b w:val="0"/>
          <w:color w:val="000000"/>
          <w:sz w:val="24"/>
          <w:highlight w:val="yellow"/>
        </w:rPr>
        <w:t>The author(s) declared no potential conflicts of interest with respect to the research, authorship, and/or publication of this article.</w:t>
      </w:r>
    </w:p>
    <w:p w14:paraId="006531C5" w14:textId="77777777" w:rsidR="00B23DF1" w:rsidRPr="00DE5A5D" w:rsidRDefault="00000000">
      <w:pPr>
        <w:pStyle w:val="Heading2"/>
        <w:spacing w:after="0"/>
        <w:rPr>
          <w:rFonts w:ascii="Times New Roman" w:eastAsia="Times New Roman" w:hAnsi="Times New Roman" w:cs="Times New Roman"/>
          <w:b w:val="0"/>
          <w:color w:val="000000"/>
          <w:sz w:val="24"/>
          <w:highlight w:val="yellow"/>
        </w:rPr>
      </w:pPr>
      <w:r w:rsidRPr="00DE5A5D">
        <w:rPr>
          <w:sz w:val="26"/>
          <w:szCs w:val="26"/>
          <w:highlight w:val="yellow"/>
        </w:rPr>
        <w:t>Data Availability Statement</w:t>
      </w:r>
      <w:r w:rsidRPr="00DE5A5D">
        <w:rPr>
          <w:highlight w:val="yellow"/>
        </w:rPr>
        <w:t xml:space="preserve"> </w:t>
      </w:r>
      <w:r w:rsidRPr="00DE5A5D">
        <w:rPr>
          <w:rFonts w:ascii="Times New Roman" w:eastAsia="Times New Roman" w:hAnsi="Times New Roman" w:cs="Times New Roman"/>
          <w:b w:val="0"/>
          <w:color w:val="000000"/>
          <w:sz w:val="24"/>
          <w:highlight w:val="yellow"/>
        </w:rPr>
        <w:t>The data that support the findings of this study are available from the corresponding author upon reasonable request.</w:t>
      </w:r>
    </w:p>
    <w:p w14:paraId="4532F542" w14:textId="77777777" w:rsidR="00B23DF1" w:rsidRPr="00DE5A5D" w:rsidRDefault="00000000">
      <w:pPr>
        <w:pStyle w:val="Heading2"/>
        <w:rPr>
          <w:highlight w:val="yellow"/>
        </w:rPr>
      </w:pPr>
      <w:r w:rsidRPr="00DE5A5D">
        <w:rPr>
          <w:highlight w:val="yellow"/>
        </w:rPr>
        <w:t>Author ORCID iDs</w:t>
      </w:r>
    </w:p>
    <w:p w14:paraId="4EF7C2A3" w14:textId="77777777" w:rsidR="00B23DF1" w:rsidRPr="00DE5A5D" w:rsidRDefault="00000000">
      <w:pPr>
        <w:spacing w:after="0" w:line="259" w:lineRule="auto"/>
        <w:ind w:left="360" w:right="0" w:hanging="360"/>
        <w:rPr>
          <w:color w:val="595959"/>
          <w:highlight w:val="yellow"/>
        </w:rPr>
      </w:pPr>
      <w:r w:rsidRPr="00DE5A5D">
        <w:rPr>
          <w:b/>
          <w:highlight w:val="yellow"/>
        </w:rPr>
        <w:t xml:space="preserve">First Author Name </w:t>
      </w:r>
      <w:r w:rsidRPr="00DE5A5D">
        <w:rPr>
          <w:rFonts w:ascii="Calibri" w:hAnsi="Calibri"/>
          <w:noProof/>
          <w:highlight w:val="yellow"/>
        </w:rPr>
        <w:drawing>
          <wp:inline distT="0" distB="0" distL="0" distR="0" wp14:anchorId="5022B844" wp14:editId="5F03DECB">
            <wp:extent cx="105148" cy="105148"/>
            <wp:effectExtent l="0" t="0" r="0" b="0"/>
            <wp:docPr id="2128715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5148" cy="105148"/>
                    </a:xfrm>
                    <a:prstGeom prst="rect">
                      <a:avLst/>
                    </a:prstGeom>
                    <a:ln/>
                  </pic:spPr>
                </pic:pic>
              </a:graphicData>
            </a:graphic>
          </wp:inline>
        </w:drawing>
      </w:r>
      <w:r w:rsidRPr="00DE5A5D">
        <w:rPr>
          <w:b/>
          <w:highlight w:val="yellow"/>
        </w:rPr>
        <w:t xml:space="preserve"> </w:t>
      </w:r>
      <w:r w:rsidRPr="00DE5A5D">
        <w:rPr>
          <w:color w:val="595959"/>
          <w:highlight w:val="yellow"/>
        </w:rPr>
        <w:t>https://orcid.org/000x-000x-xxxx-xxx</w:t>
      </w:r>
    </w:p>
    <w:p w14:paraId="11F2D164" w14:textId="77777777" w:rsidR="00B23DF1" w:rsidRPr="00DE5A5D" w:rsidRDefault="00000000">
      <w:pPr>
        <w:spacing w:after="0" w:line="259" w:lineRule="auto"/>
        <w:ind w:left="360" w:right="0" w:hanging="360"/>
        <w:rPr>
          <w:b/>
          <w:highlight w:val="yellow"/>
        </w:rPr>
      </w:pPr>
      <w:r w:rsidRPr="00DE5A5D">
        <w:rPr>
          <w:b/>
          <w:highlight w:val="yellow"/>
        </w:rPr>
        <w:t xml:space="preserve">Second Author Name </w:t>
      </w:r>
      <w:r w:rsidRPr="00DE5A5D">
        <w:rPr>
          <w:rFonts w:ascii="Calibri" w:hAnsi="Calibri"/>
          <w:noProof/>
          <w:highlight w:val="yellow"/>
        </w:rPr>
        <w:drawing>
          <wp:inline distT="0" distB="0" distL="0" distR="0" wp14:anchorId="328706A3" wp14:editId="01165C7B">
            <wp:extent cx="105148" cy="105148"/>
            <wp:effectExtent l="0" t="0" r="0" b="0"/>
            <wp:docPr id="2128715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5148" cy="105148"/>
                    </a:xfrm>
                    <a:prstGeom prst="rect">
                      <a:avLst/>
                    </a:prstGeom>
                    <a:ln/>
                  </pic:spPr>
                </pic:pic>
              </a:graphicData>
            </a:graphic>
          </wp:inline>
        </w:drawing>
      </w:r>
      <w:r w:rsidRPr="00DE5A5D">
        <w:rPr>
          <w:b/>
          <w:highlight w:val="yellow"/>
        </w:rPr>
        <w:t xml:space="preserve"> </w:t>
      </w:r>
      <w:r w:rsidRPr="00DE5A5D">
        <w:rPr>
          <w:color w:val="595959"/>
          <w:highlight w:val="yellow"/>
        </w:rPr>
        <w:t>https://orcid.org/000x-000x-xxxx-xxx</w:t>
      </w:r>
    </w:p>
    <w:p w14:paraId="2B57AB91" w14:textId="77777777" w:rsidR="00B23DF1" w:rsidRDefault="00000000">
      <w:pPr>
        <w:spacing w:after="0" w:line="259" w:lineRule="auto"/>
        <w:ind w:left="360" w:right="0" w:hanging="360"/>
        <w:rPr>
          <w:b/>
        </w:rPr>
      </w:pPr>
      <w:r w:rsidRPr="00DE5A5D">
        <w:rPr>
          <w:b/>
          <w:highlight w:val="yellow"/>
        </w:rPr>
        <w:t xml:space="preserve">Third Author Name </w:t>
      </w:r>
      <w:r w:rsidRPr="00DE5A5D">
        <w:rPr>
          <w:rFonts w:ascii="Calibri" w:hAnsi="Calibri"/>
          <w:noProof/>
          <w:highlight w:val="yellow"/>
        </w:rPr>
        <w:drawing>
          <wp:inline distT="0" distB="0" distL="0" distR="0" wp14:anchorId="51E6962D" wp14:editId="161C1EBC">
            <wp:extent cx="105148" cy="105148"/>
            <wp:effectExtent l="0" t="0" r="0" b="0"/>
            <wp:docPr id="21287151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5148" cy="105148"/>
                    </a:xfrm>
                    <a:prstGeom prst="rect">
                      <a:avLst/>
                    </a:prstGeom>
                    <a:ln/>
                  </pic:spPr>
                </pic:pic>
              </a:graphicData>
            </a:graphic>
          </wp:inline>
        </w:drawing>
      </w:r>
      <w:r w:rsidRPr="00DE5A5D">
        <w:rPr>
          <w:b/>
          <w:highlight w:val="yellow"/>
        </w:rPr>
        <w:t xml:space="preserve"> </w:t>
      </w:r>
      <w:r w:rsidRPr="00DE5A5D">
        <w:rPr>
          <w:color w:val="595959"/>
          <w:highlight w:val="yellow"/>
        </w:rPr>
        <w:t>https://orcid.org/000x-000x-xxxx-xxx</w:t>
      </w:r>
    </w:p>
    <w:p w14:paraId="5D5DA307" w14:textId="77777777" w:rsidR="00B23DF1" w:rsidRDefault="00B23DF1">
      <w:pPr>
        <w:spacing w:after="0" w:line="259" w:lineRule="auto"/>
        <w:ind w:left="360" w:right="0" w:hanging="360"/>
        <w:rPr>
          <w:b/>
        </w:rPr>
      </w:pPr>
    </w:p>
    <w:p w14:paraId="6C443D13" w14:textId="77777777" w:rsidR="00B23DF1" w:rsidRDefault="00000000">
      <w:pPr>
        <w:ind w:firstLine="0"/>
      </w:pPr>
      <w:r>
        <w:rPr>
          <w:noProof/>
        </w:rPr>
        <mc:AlternateContent>
          <mc:Choice Requires="wps">
            <w:drawing>
              <wp:anchor distT="0" distB="0" distL="114300" distR="114300" simplePos="0" relativeHeight="251659264" behindDoc="0" locked="0" layoutInCell="1" hidden="0" allowOverlap="1" wp14:anchorId="4FD3BDD4" wp14:editId="09265C50">
                <wp:simplePos x="0" y="0"/>
                <wp:positionH relativeFrom="column">
                  <wp:posOffset>1</wp:posOffset>
                </wp:positionH>
                <wp:positionV relativeFrom="paragraph">
                  <wp:posOffset>0</wp:posOffset>
                </wp:positionV>
                <wp:extent cx="0" cy="12700"/>
                <wp:effectExtent l="0" t="0" r="0" b="0"/>
                <wp:wrapNone/>
                <wp:docPr id="2128715102" name="Straight Arrow Connector 2128715102"/>
                <wp:cNvGraphicFramePr/>
                <a:graphic xmlns:a="http://schemas.openxmlformats.org/drawingml/2006/main">
                  <a:graphicData uri="http://schemas.microsoft.com/office/word/2010/wordprocessingShape">
                    <wps:wsp>
                      <wps:cNvCnPr/>
                      <wps:spPr>
                        <a:xfrm>
                          <a:off x="2460813" y="3780000"/>
                          <a:ext cx="5770375" cy="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2128715102"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14:paraId="10E7F392" w14:textId="77777777" w:rsidR="00B23DF1" w:rsidRDefault="00000000">
      <w:pPr>
        <w:pStyle w:val="Heading2"/>
        <w:ind w:left="-5" w:firstLine="0"/>
      </w:pPr>
      <w:r>
        <w:t xml:space="preserve">REFERENCES </w:t>
      </w:r>
    </w:p>
    <w:p w14:paraId="75133E62" w14:textId="46902E39" w:rsidR="008C19E2" w:rsidRPr="008C19E2" w:rsidRDefault="008C19E2" w:rsidP="008C19E2">
      <w:pPr>
        <w:spacing w:after="0" w:line="259" w:lineRule="auto"/>
        <w:ind w:left="426" w:right="0" w:hanging="450"/>
        <w:rPr>
          <w:lang w:val="en"/>
        </w:rPr>
      </w:pPr>
      <w:bookmarkStart w:id="2" w:name="bookmark=id.1fob9te" w:colFirst="0" w:colLast="0"/>
      <w:bookmarkEnd w:id="2"/>
      <w:r w:rsidRPr="008C19E2">
        <w:rPr>
          <w:lang w:val="en"/>
        </w:rPr>
        <w:t xml:space="preserve">Alalwan, A. A., Dwivedi, Y. K., Rana, N. P., &amp; Williams, M. D. (2017). Consumer adoption of mobile banking in Jordan: Examining the role of usefulness, ease of use, perceived risk and self-efficacy. </w:t>
      </w:r>
      <w:r w:rsidRPr="008C19E2">
        <w:rPr>
          <w:i/>
          <w:iCs/>
          <w:lang w:val="en"/>
        </w:rPr>
        <w:t>Journal of Enterprise Information Management, 30</w:t>
      </w:r>
      <w:r w:rsidRPr="008C19E2">
        <w:rPr>
          <w:lang w:val="en"/>
        </w:rPr>
        <w:t>(3), 409-428. https://doi.org/10.1108/JEIM-04-2016-0102</w:t>
      </w:r>
      <w:r w:rsidR="00DE5A5D">
        <w:rPr>
          <w:lang w:val="en"/>
        </w:rPr>
        <w:t>.</w:t>
      </w:r>
    </w:p>
    <w:p w14:paraId="7E4D30B5" w14:textId="244A1886" w:rsidR="008C19E2" w:rsidRPr="008C19E2" w:rsidRDefault="008C19E2" w:rsidP="008C19E2">
      <w:pPr>
        <w:spacing w:after="0" w:line="259" w:lineRule="auto"/>
        <w:ind w:left="426" w:right="0" w:hanging="450"/>
        <w:rPr>
          <w:lang w:val="en"/>
        </w:rPr>
      </w:pPr>
      <w:r w:rsidRPr="008C19E2">
        <w:rPr>
          <w:lang w:val="en"/>
        </w:rPr>
        <w:t xml:space="preserve">Amin, M. (2016). Internet banking service quality and its implication on e-customer satisfaction and e-customer loyalty. </w:t>
      </w:r>
      <w:r w:rsidRPr="008C19E2">
        <w:rPr>
          <w:i/>
          <w:iCs/>
          <w:lang w:val="en"/>
        </w:rPr>
        <w:t>International Journal of Bank Marketing, 34</w:t>
      </w:r>
      <w:r w:rsidRPr="008C19E2">
        <w:rPr>
          <w:lang w:val="en"/>
        </w:rPr>
        <w:t>(3), 280-306. https://doi.org/10.1108/IJBM-10-2014-0139</w:t>
      </w:r>
      <w:r w:rsidR="00DE5A5D">
        <w:rPr>
          <w:lang w:val="en"/>
        </w:rPr>
        <w:t>.</w:t>
      </w:r>
    </w:p>
    <w:p w14:paraId="72527A60" w14:textId="499BA206" w:rsidR="008C19E2" w:rsidRPr="008C19E2" w:rsidRDefault="008C19E2" w:rsidP="008C19E2">
      <w:pPr>
        <w:spacing w:after="0" w:line="259" w:lineRule="auto"/>
        <w:ind w:left="426" w:right="0" w:hanging="450"/>
        <w:rPr>
          <w:lang w:val="en"/>
        </w:rPr>
      </w:pPr>
      <w:r w:rsidRPr="008C19E2">
        <w:rPr>
          <w:lang w:val="en"/>
        </w:rPr>
        <w:lastRenderedPageBreak/>
        <w:t xml:space="preserve">Davis, F. D. (1989). Perceived usefulness, perceived ease of use, and user acceptance of information technology. </w:t>
      </w:r>
      <w:r w:rsidRPr="008C19E2">
        <w:rPr>
          <w:i/>
          <w:iCs/>
          <w:lang w:val="en"/>
        </w:rPr>
        <w:t>MIS Quarterly, 13</w:t>
      </w:r>
      <w:r w:rsidRPr="008C19E2">
        <w:rPr>
          <w:lang w:val="en"/>
        </w:rPr>
        <w:t>(3), 319-340. https://doi.org/10.2307/249008</w:t>
      </w:r>
      <w:r w:rsidR="00DE5A5D">
        <w:rPr>
          <w:lang w:val="en"/>
        </w:rPr>
        <w:t>.</w:t>
      </w:r>
    </w:p>
    <w:p w14:paraId="612DA0FF" w14:textId="72A395BF" w:rsidR="008C19E2" w:rsidRPr="008C19E2" w:rsidRDefault="008C19E2" w:rsidP="008C19E2">
      <w:pPr>
        <w:spacing w:after="0" w:line="259" w:lineRule="auto"/>
        <w:ind w:left="426" w:right="0" w:hanging="450"/>
        <w:rPr>
          <w:lang w:val="en"/>
        </w:rPr>
      </w:pPr>
      <w:r w:rsidRPr="008C19E2">
        <w:rPr>
          <w:lang w:val="en"/>
        </w:rPr>
        <w:t xml:space="preserve">Gefen, D., Karahanna, E., &amp; Straub, D. W. (2003). Trust and TAM in online shopping: An integrated model. </w:t>
      </w:r>
      <w:r w:rsidRPr="008C19E2">
        <w:rPr>
          <w:i/>
          <w:iCs/>
          <w:lang w:val="en"/>
        </w:rPr>
        <w:t>MIS Quarterly, 27</w:t>
      </w:r>
      <w:r w:rsidRPr="008C19E2">
        <w:rPr>
          <w:lang w:val="en"/>
        </w:rPr>
        <w:t>(1), 51-90. https://doi.org/10.2307/30036519</w:t>
      </w:r>
      <w:r w:rsidR="00DE5A5D">
        <w:rPr>
          <w:lang w:val="en"/>
        </w:rPr>
        <w:t>.</w:t>
      </w:r>
    </w:p>
    <w:p w14:paraId="2E8634AC" w14:textId="08B4AADD" w:rsidR="008C19E2" w:rsidRPr="008C19E2" w:rsidRDefault="008C19E2" w:rsidP="008C19E2">
      <w:pPr>
        <w:spacing w:after="0" w:line="259" w:lineRule="auto"/>
        <w:ind w:left="426" w:right="0" w:hanging="450"/>
        <w:rPr>
          <w:lang w:val="en"/>
        </w:rPr>
      </w:pPr>
      <w:r w:rsidRPr="008C19E2">
        <w:rPr>
          <w:lang w:val="en"/>
        </w:rPr>
        <w:t xml:space="preserve">Kim, D. J., Ferrin, D. L., &amp; Rao, H. R. (2009). Trust and satisfaction, two stepping stones for successful e-commerce relationships: A longitudinal exploration. </w:t>
      </w:r>
      <w:r w:rsidRPr="008C19E2">
        <w:rPr>
          <w:i/>
          <w:iCs/>
          <w:lang w:val="en"/>
        </w:rPr>
        <w:t>Information Systems Research, 20</w:t>
      </w:r>
      <w:r w:rsidRPr="008C19E2">
        <w:rPr>
          <w:lang w:val="en"/>
        </w:rPr>
        <w:t>(2), 237-257. https://doi.org/10.1287/isre.1080.0188</w:t>
      </w:r>
      <w:r w:rsidR="00DE5A5D">
        <w:rPr>
          <w:lang w:val="en"/>
        </w:rPr>
        <w:t>.</w:t>
      </w:r>
    </w:p>
    <w:p w14:paraId="6D9F82BF" w14:textId="160B981C" w:rsidR="008C19E2" w:rsidRPr="008C19E2" w:rsidRDefault="008C19E2" w:rsidP="008C19E2">
      <w:pPr>
        <w:spacing w:after="0" w:line="259" w:lineRule="auto"/>
        <w:ind w:left="426" w:right="0" w:hanging="450"/>
        <w:rPr>
          <w:lang w:val="en"/>
        </w:rPr>
      </w:pPr>
      <w:r w:rsidRPr="008C19E2">
        <w:rPr>
          <w:lang w:val="en"/>
        </w:rPr>
        <w:t xml:space="preserve">Lusardi, A., &amp; Mitchell, O. S. (2014). The economic importance of financial literacy: Theory and evidence. </w:t>
      </w:r>
      <w:r w:rsidRPr="008C19E2">
        <w:rPr>
          <w:i/>
          <w:iCs/>
          <w:lang w:val="en"/>
        </w:rPr>
        <w:t>Journal of Economic Literature, 52</w:t>
      </w:r>
      <w:r w:rsidRPr="008C19E2">
        <w:rPr>
          <w:lang w:val="en"/>
        </w:rPr>
        <w:t>(1), 5-44. https://doi.org/10.1257/jel.52.1.5</w:t>
      </w:r>
      <w:r w:rsidR="00DE5A5D">
        <w:rPr>
          <w:lang w:val="en"/>
        </w:rPr>
        <w:t>.</w:t>
      </w:r>
    </w:p>
    <w:p w14:paraId="1B67D88B" w14:textId="55D72A03" w:rsidR="008C19E2" w:rsidRPr="008C19E2" w:rsidRDefault="008C19E2" w:rsidP="008C19E2">
      <w:pPr>
        <w:spacing w:after="0" w:line="259" w:lineRule="auto"/>
        <w:ind w:left="426" w:right="0" w:hanging="450"/>
        <w:rPr>
          <w:lang w:val="en"/>
        </w:rPr>
      </w:pPr>
      <w:r w:rsidRPr="008C19E2">
        <w:rPr>
          <w:lang w:val="en"/>
        </w:rPr>
        <w:t xml:space="preserve">Makanyeza, C., &amp; Mutambayashata, S. (2018). Consumers' acceptance and use of plastic money in Harare, Zimbabwe: Application of the unified theory of acceptance and use of technology 2. </w:t>
      </w:r>
      <w:r w:rsidRPr="008C19E2">
        <w:rPr>
          <w:i/>
          <w:iCs/>
          <w:lang w:val="en"/>
        </w:rPr>
        <w:t>International Journal of Bank Marketing, 36</w:t>
      </w:r>
      <w:r w:rsidRPr="008C19E2">
        <w:rPr>
          <w:lang w:val="en"/>
        </w:rPr>
        <w:t>(2), 379-392. https://doi.org/10.1108/IJBM-03-2017-0044</w:t>
      </w:r>
      <w:r w:rsidR="00DE5A5D">
        <w:rPr>
          <w:lang w:val="en"/>
        </w:rPr>
        <w:t>.</w:t>
      </w:r>
    </w:p>
    <w:p w14:paraId="79EB0969" w14:textId="6A8C314C" w:rsidR="008C19E2" w:rsidRPr="008C19E2" w:rsidRDefault="008C19E2" w:rsidP="008C19E2">
      <w:pPr>
        <w:spacing w:after="0" w:line="259" w:lineRule="auto"/>
        <w:ind w:left="426" w:right="0" w:hanging="450"/>
        <w:rPr>
          <w:lang w:val="en"/>
        </w:rPr>
      </w:pPr>
      <w:r w:rsidRPr="008C19E2">
        <w:rPr>
          <w:lang w:val="en"/>
        </w:rPr>
        <w:t xml:space="preserve">Martins, C., Oliveira, T., &amp; Popovič, A. (2014). Understanding the Internet banking adoption: A unified theory of acceptance and use of technology and perceived risk application. </w:t>
      </w:r>
      <w:r w:rsidRPr="008C19E2">
        <w:rPr>
          <w:i/>
          <w:iCs/>
          <w:lang w:val="en"/>
        </w:rPr>
        <w:t>International Journal of Information Management, 34</w:t>
      </w:r>
      <w:r w:rsidRPr="008C19E2">
        <w:rPr>
          <w:lang w:val="en"/>
        </w:rPr>
        <w:t>(1), 1-13. https://doi.org/10.1016/j.ijinfomgt.2013.06.002</w:t>
      </w:r>
      <w:r w:rsidR="00DE5A5D">
        <w:rPr>
          <w:lang w:val="en"/>
        </w:rPr>
        <w:t>.</w:t>
      </w:r>
    </w:p>
    <w:p w14:paraId="48D4F4D5" w14:textId="1F4C1D2F" w:rsidR="008C19E2" w:rsidRPr="008C19E2" w:rsidRDefault="008C19E2" w:rsidP="008C19E2">
      <w:pPr>
        <w:spacing w:after="0" w:line="259" w:lineRule="auto"/>
        <w:ind w:left="426" w:right="0" w:hanging="450"/>
        <w:rPr>
          <w:lang w:val="en"/>
        </w:rPr>
      </w:pPr>
      <w:r w:rsidRPr="008C19E2">
        <w:rPr>
          <w:lang w:val="en"/>
        </w:rPr>
        <w:t xml:space="preserve">Mbama, C. I., &amp; Ezepue, P. O. (2018). Digital banking, customer experience and bank financial performance: UK customers' perceptions. </w:t>
      </w:r>
      <w:r w:rsidRPr="008C19E2">
        <w:rPr>
          <w:i/>
          <w:iCs/>
          <w:lang w:val="en"/>
        </w:rPr>
        <w:t>International Journal of Bank Marketing, 36</w:t>
      </w:r>
      <w:r w:rsidRPr="008C19E2">
        <w:rPr>
          <w:lang w:val="en"/>
        </w:rPr>
        <w:t>(2), 230-255. https://doi.org/10.1108/IJBM-11-2016-0181</w:t>
      </w:r>
      <w:r w:rsidR="00DE5A5D">
        <w:rPr>
          <w:lang w:val="en"/>
        </w:rPr>
        <w:t>.</w:t>
      </w:r>
    </w:p>
    <w:p w14:paraId="2CC17A9A" w14:textId="46084F1E" w:rsidR="008C19E2" w:rsidRPr="008C19E2" w:rsidRDefault="008C19E2" w:rsidP="008C19E2">
      <w:pPr>
        <w:spacing w:after="0" w:line="259" w:lineRule="auto"/>
        <w:ind w:left="426" w:right="0" w:hanging="450"/>
        <w:rPr>
          <w:lang w:val="en"/>
        </w:rPr>
      </w:pPr>
      <w:r w:rsidRPr="008C19E2">
        <w:rPr>
          <w:lang w:val="en"/>
        </w:rPr>
        <w:t xml:space="preserve">Moher, D., Liberati, A., Tetzlaff, J., Altman, D. G., &amp; PRISMA Group. (2009). Preferred reporting items for systematic reviews and meta-analyses: The PRISMA statement. </w:t>
      </w:r>
      <w:r w:rsidRPr="008C19E2">
        <w:rPr>
          <w:i/>
          <w:iCs/>
          <w:lang w:val="en"/>
        </w:rPr>
        <w:t>PLoS Medicine, 6</w:t>
      </w:r>
      <w:r w:rsidRPr="008C19E2">
        <w:rPr>
          <w:lang w:val="en"/>
        </w:rPr>
        <w:t>(7), e1000097. https://doi.org/10.1371/journal.pmed.1000097</w:t>
      </w:r>
      <w:r w:rsidR="00DE5A5D">
        <w:rPr>
          <w:lang w:val="en"/>
        </w:rPr>
        <w:t>.</w:t>
      </w:r>
    </w:p>
    <w:p w14:paraId="15893D04" w14:textId="77777777" w:rsidR="008C19E2" w:rsidRPr="008C19E2" w:rsidRDefault="008C19E2" w:rsidP="008C19E2">
      <w:pPr>
        <w:spacing w:after="0" w:line="259" w:lineRule="auto"/>
        <w:ind w:left="426" w:right="0" w:hanging="450"/>
        <w:rPr>
          <w:lang w:val="en"/>
        </w:rPr>
      </w:pPr>
      <w:r w:rsidRPr="008C19E2">
        <w:rPr>
          <w:lang w:val="en"/>
        </w:rPr>
        <w:t xml:space="preserve">Parasuraman, A., Zeithaml, V. A., &amp; Berry, L. L. (1988). SERVQUAL: A multiple-item scale for measuring consumer perceptions of service quality. </w:t>
      </w:r>
      <w:r w:rsidRPr="008C19E2">
        <w:rPr>
          <w:i/>
          <w:iCs/>
          <w:lang w:val="en"/>
        </w:rPr>
        <w:t>Journal of Retailing, 64</w:t>
      </w:r>
      <w:r w:rsidRPr="008C19E2">
        <w:rPr>
          <w:lang w:val="en"/>
        </w:rPr>
        <w:t>(1), 12-40.</w:t>
      </w:r>
    </w:p>
    <w:p w14:paraId="4CF6787A" w14:textId="47D010D5" w:rsidR="008C19E2" w:rsidRPr="008C19E2" w:rsidRDefault="008C19E2" w:rsidP="008C19E2">
      <w:pPr>
        <w:spacing w:after="0" w:line="259" w:lineRule="auto"/>
        <w:ind w:left="426" w:right="0" w:hanging="450"/>
        <w:rPr>
          <w:lang w:val="en"/>
        </w:rPr>
      </w:pPr>
      <w:r w:rsidRPr="008C19E2">
        <w:rPr>
          <w:lang w:val="en"/>
        </w:rPr>
        <w:t xml:space="preserve">Parasuraman, A., Zeithaml, V. A., &amp; Malhotra, A. (2005). E-S-QUAL: A multiple-item scale for assessing electronic service quality. </w:t>
      </w:r>
      <w:r w:rsidRPr="008C19E2">
        <w:rPr>
          <w:i/>
          <w:iCs/>
          <w:lang w:val="en"/>
        </w:rPr>
        <w:t>Journal of Service Research, 7</w:t>
      </w:r>
      <w:r w:rsidRPr="008C19E2">
        <w:rPr>
          <w:lang w:val="en"/>
        </w:rPr>
        <w:t>(3), 213-233. https://doi.org/10.1177/1094670504271156</w:t>
      </w:r>
      <w:r w:rsidR="00DE5A5D">
        <w:rPr>
          <w:lang w:val="en"/>
        </w:rPr>
        <w:t>.</w:t>
      </w:r>
    </w:p>
    <w:p w14:paraId="2678B8BD" w14:textId="14229A8A" w:rsidR="008C19E2" w:rsidRPr="008C19E2" w:rsidRDefault="008C19E2" w:rsidP="008C19E2">
      <w:pPr>
        <w:spacing w:after="0" w:line="259" w:lineRule="auto"/>
        <w:ind w:left="426" w:right="0" w:hanging="450"/>
        <w:rPr>
          <w:lang w:val="en"/>
        </w:rPr>
      </w:pPr>
      <w:r w:rsidRPr="008C19E2">
        <w:rPr>
          <w:lang w:val="en"/>
        </w:rPr>
        <w:t xml:space="preserve">Rahi, S., Ghani, M. A., &amp; Ngah, A. H. (2019). Integration of unified theory of acceptance and use of technology in internet banking adoption setting: Evidence from Pakistan. </w:t>
      </w:r>
      <w:r w:rsidRPr="008C19E2">
        <w:rPr>
          <w:i/>
          <w:iCs/>
          <w:lang w:val="en"/>
        </w:rPr>
        <w:t>Technology in Society, 58</w:t>
      </w:r>
      <w:r w:rsidRPr="008C19E2">
        <w:rPr>
          <w:lang w:val="en"/>
        </w:rPr>
        <w:t>, 101120. https://doi.org/10.1016/j.techsoc.2019.03.003</w:t>
      </w:r>
      <w:r w:rsidR="00DE5A5D">
        <w:rPr>
          <w:lang w:val="en"/>
        </w:rPr>
        <w:t>.</w:t>
      </w:r>
    </w:p>
    <w:p w14:paraId="0053EB07" w14:textId="0E8F6DD6" w:rsidR="008C19E2" w:rsidRPr="008C19E2" w:rsidRDefault="008C19E2" w:rsidP="008C19E2">
      <w:pPr>
        <w:spacing w:after="0" w:line="259" w:lineRule="auto"/>
        <w:ind w:left="426" w:right="0" w:hanging="450"/>
        <w:rPr>
          <w:lang w:val="en"/>
        </w:rPr>
      </w:pPr>
      <w:r w:rsidRPr="008C19E2">
        <w:rPr>
          <w:lang w:val="en"/>
        </w:rPr>
        <w:t xml:space="preserve">Raza, S. A., Umer, A., Qureshi, M. A., &amp; Dahri, A. S. (2020). Internet banking service quality, e-customer satisfaction and loyalty: The modified e-SERVQUAL model. </w:t>
      </w:r>
      <w:r w:rsidRPr="008C19E2">
        <w:rPr>
          <w:i/>
          <w:iCs/>
          <w:lang w:val="en"/>
        </w:rPr>
        <w:t>The TQM Journal, 32</w:t>
      </w:r>
      <w:r w:rsidRPr="008C19E2">
        <w:rPr>
          <w:lang w:val="en"/>
        </w:rPr>
        <w:t>(6), 1443-1466. https://doi.org/10.1108/TQM-02-2020-0019</w:t>
      </w:r>
      <w:r w:rsidR="00DE5A5D">
        <w:rPr>
          <w:lang w:val="en"/>
        </w:rPr>
        <w:t>.</w:t>
      </w:r>
    </w:p>
    <w:p w14:paraId="2E6C2025" w14:textId="2F756C15" w:rsidR="008C19E2" w:rsidRPr="008C19E2" w:rsidRDefault="008C19E2" w:rsidP="008C19E2">
      <w:pPr>
        <w:spacing w:after="0" w:line="259" w:lineRule="auto"/>
        <w:ind w:left="426" w:right="0" w:hanging="450"/>
        <w:rPr>
          <w:lang w:val="en"/>
        </w:rPr>
      </w:pPr>
      <w:r w:rsidRPr="008C19E2">
        <w:rPr>
          <w:lang w:val="en"/>
        </w:rPr>
        <w:t xml:space="preserve">Shaikh, A. A., &amp; Karjaluoto, H. (2015). Mobile banking adoption: A literature review. </w:t>
      </w:r>
      <w:r w:rsidRPr="008C19E2">
        <w:rPr>
          <w:i/>
          <w:iCs/>
          <w:lang w:val="en"/>
        </w:rPr>
        <w:t>Telematics and Informatics, 32</w:t>
      </w:r>
      <w:r w:rsidRPr="008C19E2">
        <w:rPr>
          <w:lang w:val="en"/>
        </w:rPr>
        <w:t>(1), 129-142. https://doi.org/10.1016/j.tele.2014.05.003</w:t>
      </w:r>
      <w:r w:rsidR="00DE5A5D">
        <w:rPr>
          <w:lang w:val="en"/>
        </w:rPr>
        <w:t>.</w:t>
      </w:r>
    </w:p>
    <w:p w14:paraId="0519F28E" w14:textId="46C02417" w:rsidR="008C19E2" w:rsidRPr="008C19E2" w:rsidRDefault="008C19E2" w:rsidP="008C19E2">
      <w:pPr>
        <w:spacing w:after="0" w:line="259" w:lineRule="auto"/>
        <w:ind w:left="426" w:right="0" w:hanging="450"/>
        <w:rPr>
          <w:lang w:val="en"/>
        </w:rPr>
      </w:pPr>
      <w:r w:rsidRPr="008C19E2">
        <w:rPr>
          <w:lang w:val="en"/>
        </w:rPr>
        <w:t xml:space="preserve">Venkatesh, V., &amp; Davis, F. D. (2000). A theoretical extension of the technology acceptance model: Four longitudinal field studies. </w:t>
      </w:r>
      <w:r w:rsidRPr="008C19E2">
        <w:rPr>
          <w:i/>
          <w:iCs/>
          <w:lang w:val="en"/>
        </w:rPr>
        <w:t>Management Science, 46</w:t>
      </w:r>
      <w:r w:rsidRPr="008C19E2">
        <w:rPr>
          <w:lang w:val="en"/>
        </w:rPr>
        <w:t>(2), 186-204. https://doi.org/10.1287/mnsc.46.2.186.11926</w:t>
      </w:r>
      <w:r w:rsidR="00DE5A5D">
        <w:rPr>
          <w:lang w:val="en"/>
        </w:rPr>
        <w:t>.</w:t>
      </w:r>
    </w:p>
    <w:p w14:paraId="4F7ADB8C" w14:textId="5435649D" w:rsidR="008C19E2" w:rsidRPr="008C19E2" w:rsidRDefault="008C19E2" w:rsidP="008C19E2">
      <w:pPr>
        <w:spacing w:after="0" w:line="259" w:lineRule="auto"/>
        <w:ind w:left="426" w:right="0" w:hanging="450"/>
        <w:rPr>
          <w:lang w:val="en"/>
        </w:rPr>
      </w:pPr>
      <w:r w:rsidRPr="008C19E2">
        <w:rPr>
          <w:lang w:val="en"/>
        </w:rPr>
        <w:t xml:space="preserve">Xiao, J. J. (2008). Applying behavior theories to financial behavior. In J. J. Xiao (Ed.), </w:t>
      </w:r>
      <w:r w:rsidRPr="008C19E2">
        <w:rPr>
          <w:i/>
          <w:iCs/>
          <w:lang w:val="en"/>
        </w:rPr>
        <w:t>Handbook of Consumer Finance Research</w:t>
      </w:r>
      <w:r w:rsidRPr="008C19E2">
        <w:rPr>
          <w:lang w:val="en"/>
        </w:rPr>
        <w:t xml:space="preserve"> (pp. 69-81). Springer. https://doi.org/10.1007/978-0-387-75734-6_5</w:t>
      </w:r>
      <w:r w:rsidR="00DE5A5D">
        <w:rPr>
          <w:lang w:val="en"/>
        </w:rPr>
        <w:t>.</w:t>
      </w:r>
    </w:p>
    <w:p w14:paraId="179712B3" w14:textId="054A65AF" w:rsidR="00B23DF1" w:rsidRDefault="008C19E2" w:rsidP="00DE5A5D">
      <w:pPr>
        <w:spacing w:after="0" w:line="259" w:lineRule="auto"/>
        <w:ind w:left="426" w:right="0" w:hanging="450"/>
        <w:rPr>
          <w:rFonts w:ascii="Calibri" w:hAnsi="Calibri"/>
          <w:b/>
          <w:sz w:val="28"/>
          <w:szCs w:val="28"/>
        </w:rPr>
      </w:pPr>
      <w:r w:rsidRPr="008C19E2">
        <w:rPr>
          <w:lang w:val="en"/>
        </w:rPr>
        <w:t xml:space="preserve">Yousafzai, S. Y., Pallister, J. G., &amp; Foxall, G. R. (2009). Multi-dimensional role of trust in Internet banking adoption. </w:t>
      </w:r>
      <w:r w:rsidRPr="008C19E2">
        <w:rPr>
          <w:i/>
          <w:iCs/>
          <w:lang w:val="en"/>
        </w:rPr>
        <w:t>The Service Industries Journal, 29</w:t>
      </w:r>
      <w:r w:rsidRPr="008C19E2">
        <w:rPr>
          <w:lang w:val="en"/>
        </w:rPr>
        <w:t>(5), 591-605. https://doi.org/10.1080/02642060902719958</w:t>
      </w:r>
      <w:r w:rsidR="00DE5A5D">
        <w:rPr>
          <w:lang w:val="en"/>
        </w:rPr>
        <w:t>.</w:t>
      </w:r>
    </w:p>
    <w:sectPr w:rsidR="00B23DF1">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1440" w:bottom="1440" w:left="1440" w:header="609" w:footer="6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3BEBB" w14:textId="77777777" w:rsidR="006C1B0A" w:rsidRDefault="006C1B0A">
      <w:pPr>
        <w:spacing w:after="0" w:line="240" w:lineRule="auto"/>
      </w:pPr>
      <w:r>
        <w:separator/>
      </w:r>
    </w:p>
  </w:endnote>
  <w:endnote w:type="continuationSeparator" w:id="0">
    <w:p w14:paraId="1CC75779" w14:textId="77777777" w:rsidR="006C1B0A" w:rsidRDefault="006C1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EC45A5-3ACF-4570-97FB-33B5CDDE6B3D}"/>
    <w:embedBold r:id="rId2" w:fontKey="{DFF4DFEB-942A-4BC1-BF6E-A137E22EB34C}"/>
    <w:embedItalic r:id="rId3" w:fontKey="{E8D0ED65-D01C-46FB-A87A-C972B1D4D207}"/>
    <w:embedBoldItalic r:id="rId4" w:fontKey="{A9CAFE15-FBB5-4C60-B299-13E3FF084206}"/>
  </w:font>
  <w:font w:name="Calibri Light">
    <w:panose1 w:val="020F0302020204030204"/>
    <w:charset w:val="00"/>
    <w:family w:val="swiss"/>
    <w:pitch w:val="variable"/>
    <w:sig w:usb0="E4002EFF" w:usb1="C200247B" w:usb2="00000009" w:usb3="00000000" w:csb0="000001FF" w:csb1="00000000"/>
    <w:embedRegular r:id="rId5" w:fontKey="{EDB6FFD5-D594-4304-A975-6C4BE6069231}"/>
    <w:embedItalic r:id="rId6" w:fontKey="{40C68D60-C4BA-453D-BD0F-CD88FC42D608}"/>
  </w:font>
  <w:font w:name="Calisto MT">
    <w:panose1 w:val="02040603050505030304"/>
    <w:charset w:val="00"/>
    <w:family w:val="roman"/>
    <w:pitch w:val="variable"/>
    <w:sig w:usb0="00000003" w:usb1="00000000" w:usb2="00000000" w:usb3="00000000" w:csb0="00000001" w:csb1="00000000"/>
    <w:embedRegular r:id="rId7" w:fontKey="{F27526E7-A49B-4A2F-AFAE-72F78F38E62F}"/>
  </w:font>
  <w:font w:name="Georgia">
    <w:panose1 w:val="02040502050405020303"/>
    <w:charset w:val="00"/>
    <w:family w:val="roman"/>
    <w:pitch w:val="variable"/>
    <w:sig w:usb0="00000287" w:usb1="00000000" w:usb2="00000000" w:usb3="00000000" w:csb0="0000009F" w:csb1="00000000"/>
    <w:embedRegular r:id="rId8" w:fontKey="{D08784AA-A0A9-460E-A327-D37357187CF4}"/>
    <w:embedItalic r:id="rId9" w:fontKey="{9CCDB827-FD51-4C39-BB0B-A7E5D24BA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9C57" w14:textId="77777777" w:rsidR="00B23DF1" w:rsidRDefault="00000000">
    <w:pPr>
      <w:spacing w:after="0" w:line="259" w:lineRule="auto"/>
      <w:ind w:left="-154" w:right="0" w:firstLine="0"/>
      <w:jc w:val="left"/>
    </w:pPr>
    <w:r>
      <w:fldChar w:fldCharType="begin"/>
    </w:r>
    <w:r>
      <w:instrText>PAGE</w:instrText>
    </w:r>
    <w:r>
      <w:fldChar w:fldCharType="separate"/>
    </w:r>
    <w:r>
      <w:fldChar w:fldCharType="end"/>
    </w:r>
    <w:r>
      <w:rPr>
        <w:b/>
      </w:rPr>
      <w:t xml:space="preserve"> | Integra Management Review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B50B" w14:textId="77777777" w:rsidR="00B23DF1" w:rsidRDefault="00000000">
    <w:pPr>
      <w:spacing w:after="0" w:line="259" w:lineRule="auto"/>
      <w:ind w:right="182" w:firstLine="0"/>
      <w:jc w:val="right"/>
    </w:pPr>
    <w:r>
      <w:rPr>
        <w:b/>
        <w:i/>
      </w:rPr>
      <w:t xml:space="preserve">  </w:t>
    </w:r>
    <w:r>
      <w:rPr>
        <w:b/>
      </w:rPr>
      <w:t xml:space="preserve">Vol. 2, no. 2 (2024) | </w:t>
    </w:r>
    <w:r>
      <w:fldChar w:fldCharType="begin"/>
    </w:r>
    <w:r>
      <w:instrText>PAGE</w:instrText>
    </w:r>
    <w:r>
      <w:fldChar w:fldCharType="separate"/>
    </w:r>
    <w:r>
      <w:fldChar w:fldCharType="end"/>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171F" w14:textId="77777777" w:rsidR="00B23DF1" w:rsidRDefault="00B23DF1">
    <w:pPr>
      <w:widowControl w:val="0"/>
      <w:pBdr>
        <w:top w:val="nil"/>
        <w:left w:val="nil"/>
        <w:bottom w:val="nil"/>
        <w:right w:val="nil"/>
        <w:between w:val="nil"/>
      </w:pBdr>
      <w:spacing w:after="0" w:line="276" w:lineRule="auto"/>
      <w:ind w:right="0" w:firstLine="0"/>
      <w:jc w:val="left"/>
    </w:pPr>
  </w:p>
  <w:tbl>
    <w:tblPr>
      <w:tblStyle w:val="aa"/>
      <w:tblW w:w="9122" w:type="dxa"/>
      <w:tblInd w:w="-95" w:type="dxa"/>
      <w:tblBorders>
        <w:top w:val="nil"/>
        <w:left w:val="nil"/>
        <w:bottom w:val="nil"/>
        <w:right w:val="nil"/>
        <w:insideH w:val="nil"/>
        <w:insideV w:val="nil"/>
      </w:tblBorders>
      <w:tblLayout w:type="fixed"/>
      <w:tblLook w:val="0400" w:firstRow="0" w:lastRow="0" w:firstColumn="0" w:lastColumn="0" w:noHBand="0" w:noVBand="1"/>
    </w:tblPr>
    <w:tblGrid>
      <w:gridCol w:w="6216"/>
      <w:gridCol w:w="992"/>
      <w:gridCol w:w="1914"/>
    </w:tblGrid>
    <w:tr w:rsidR="00B23DF1" w14:paraId="57BF47D6" w14:textId="77777777">
      <w:trPr>
        <w:trHeight w:val="258"/>
      </w:trPr>
      <w:tc>
        <w:tcPr>
          <w:tcW w:w="6216" w:type="dxa"/>
          <w:vMerge w:val="restart"/>
          <w:tcBorders>
            <w:top w:val="nil"/>
            <w:left w:val="nil"/>
            <w:bottom w:val="nil"/>
            <w:right w:val="nil"/>
          </w:tcBorders>
        </w:tcPr>
        <w:p w14:paraId="1947C26D" w14:textId="3AACF8B4" w:rsidR="00B23DF1" w:rsidRDefault="00000000">
          <w:pPr>
            <w:pBdr>
              <w:top w:val="nil"/>
              <w:left w:val="nil"/>
              <w:bottom w:val="nil"/>
              <w:right w:val="nil"/>
              <w:between w:val="nil"/>
            </w:pBdr>
            <w:tabs>
              <w:tab w:val="left" w:pos="4245"/>
            </w:tabs>
            <w:spacing w:after="0" w:line="240" w:lineRule="auto"/>
            <w:ind w:left="78" w:firstLine="0"/>
            <w:jc w:val="left"/>
            <w:rPr>
              <w:rFonts w:ascii="Calibri" w:hAnsi="Calibri"/>
              <w:color w:val="222A35"/>
              <w:sz w:val="19"/>
              <w:szCs w:val="19"/>
            </w:rPr>
          </w:pPr>
          <w:bookmarkStart w:id="1" w:name="bookmark=id.3znysh7" w:colFirst="0" w:colLast="0"/>
          <w:bookmarkEnd w:id="1"/>
          <w:r>
            <w:rPr>
              <w:rFonts w:ascii="Calibri" w:hAnsi="Calibri"/>
              <w:b/>
              <w:sz w:val="19"/>
              <w:szCs w:val="19"/>
            </w:rPr>
            <w:t>CORRESPONDING AUTHOR:</w:t>
          </w:r>
          <w:r>
            <w:rPr>
              <w:rFonts w:ascii="Calibri" w:hAnsi="Calibri"/>
              <w:b/>
              <w:sz w:val="19"/>
              <w:szCs w:val="19"/>
            </w:rPr>
            <w:tab/>
          </w:r>
          <w:r>
            <w:rPr>
              <w:rFonts w:ascii="Calibri" w:hAnsi="Calibri"/>
              <w:sz w:val="19"/>
              <w:szCs w:val="19"/>
            </w:rPr>
            <w:br/>
          </w:r>
          <w:r w:rsidR="00054CEF" w:rsidRPr="00054CEF">
            <w:rPr>
              <w:rFonts w:ascii="Calibri" w:hAnsi="Calibri"/>
              <w:sz w:val="19"/>
              <w:szCs w:val="19"/>
            </w:rPr>
            <w:t>Erwin Nur Himawan</w:t>
          </w:r>
          <w:r>
            <w:rPr>
              <w:rFonts w:ascii="Calibri" w:hAnsi="Calibri"/>
              <w:i/>
              <w:sz w:val="19"/>
              <w:szCs w:val="19"/>
            </w:rPr>
            <w:br/>
          </w:r>
          <w:r w:rsidR="00DE5A5D">
            <w:rPr>
              <w:rFonts w:ascii="Calibri" w:hAnsi="Calibri"/>
              <w:i/>
              <w:sz w:val="19"/>
              <w:szCs w:val="19"/>
            </w:rPr>
            <w:t xml:space="preserve">Universitas </w:t>
          </w:r>
          <w:r w:rsidR="00054CEF" w:rsidRPr="00054CEF">
            <w:rPr>
              <w:rFonts w:ascii="Calibri" w:hAnsi="Calibri"/>
              <w:i/>
              <w:sz w:val="19"/>
              <w:szCs w:val="19"/>
            </w:rPr>
            <w:t>Diponegoro, Semarang, Indonesia</w:t>
          </w:r>
          <w:r>
            <w:rPr>
              <w:rFonts w:ascii="Calibri" w:hAnsi="Calibri"/>
              <w:sz w:val="19"/>
              <w:szCs w:val="19"/>
            </w:rPr>
            <w:br/>
          </w:r>
          <w:r>
            <w:rPr>
              <w:rFonts w:ascii="Calibri" w:hAnsi="Calibri"/>
              <w:b/>
              <w:i/>
              <w:sz w:val="19"/>
              <w:szCs w:val="19"/>
            </w:rPr>
            <w:t>contact:</w:t>
          </w:r>
          <w:r>
            <w:rPr>
              <w:rFonts w:ascii="Calibri" w:hAnsi="Calibri"/>
              <w:i/>
              <w:sz w:val="19"/>
              <w:szCs w:val="19"/>
            </w:rPr>
            <w:t xml:space="preserve"> </w:t>
          </w:r>
          <w:r w:rsidR="00054CEF" w:rsidRPr="00054CEF">
            <w:rPr>
              <w:rFonts w:ascii="Calibri" w:hAnsi="Calibri"/>
              <w:i/>
              <w:sz w:val="19"/>
              <w:szCs w:val="19"/>
            </w:rPr>
            <w:t>himawanerwin12@students.undip.ac.id</w:t>
          </w:r>
        </w:p>
      </w:tc>
      <w:tc>
        <w:tcPr>
          <w:tcW w:w="2906" w:type="dxa"/>
          <w:gridSpan w:val="2"/>
          <w:tcBorders>
            <w:top w:val="nil"/>
            <w:left w:val="nil"/>
            <w:bottom w:val="nil"/>
            <w:right w:val="nil"/>
          </w:tcBorders>
        </w:tcPr>
        <w:p w14:paraId="70FA91FB" w14:textId="77777777" w:rsidR="00B23DF1" w:rsidRDefault="00000000">
          <w:pPr>
            <w:pBdr>
              <w:top w:val="nil"/>
              <w:left w:val="nil"/>
              <w:bottom w:val="nil"/>
              <w:right w:val="nil"/>
              <w:between w:val="nil"/>
            </w:pBdr>
            <w:spacing w:after="0" w:line="240" w:lineRule="auto"/>
            <w:ind w:left="-110" w:right="-113" w:firstLine="0"/>
            <w:jc w:val="left"/>
            <w:rPr>
              <w:rFonts w:ascii="Calibri" w:hAnsi="Calibri"/>
              <w:sz w:val="19"/>
              <w:szCs w:val="19"/>
            </w:rPr>
          </w:pPr>
          <w:r>
            <w:rPr>
              <w:rFonts w:ascii="Calibri" w:hAnsi="Calibri"/>
              <w:b/>
              <w:sz w:val="19"/>
              <w:szCs w:val="19"/>
            </w:rPr>
            <w:t>ARTICLE HISTORY</w:t>
          </w:r>
        </w:p>
      </w:tc>
    </w:tr>
    <w:tr w:rsidR="00B23DF1" w14:paraId="00A27115" w14:textId="77777777">
      <w:trPr>
        <w:trHeight w:val="1000"/>
      </w:trPr>
      <w:tc>
        <w:tcPr>
          <w:tcW w:w="6216" w:type="dxa"/>
          <w:vMerge/>
          <w:tcBorders>
            <w:top w:val="nil"/>
            <w:left w:val="nil"/>
            <w:bottom w:val="nil"/>
            <w:right w:val="nil"/>
          </w:tcBorders>
        </w:tcPr>
        <w:p w14:paraId="6033CE1B" w14:textId="77777777" w:rsidR="00B23DF1" w:rsidRDefault="00B23DF1">
          <w:pPr>
            <w:widowControl w:val="0"/>
            <w:pBdr>
              <w:top w:val="nil"/>
              <w:left w:val="nil"/>
              <w:bottom w:val="nil"/>
              <w:right w:val="nil"/>
              <w:between w:val="nil"/>
            </w:pBdr>
            <w:spacing w:after="0" w:line="276" w:lineRule="auto"/>
            <w:ind w:right="0" w:firstLine="0"/>
            <w:jc w:val="left"/>
            <w:rPr>
              <w:rFonts w:ascii="Calibri" w:hAnsi="Calibri"/>
              <w:sz w:val="19"/>
              <w:szCs w:val="19"/>
            </w:rPr>
          </w:pPr>
        </w:p>
      </w:tc>
      <w:tc>
        <w:tcPr>
          <w:tcW w:w="992" w:type="dxa"/>
          <w:tcBorders>
            <w:bottom w:val="single" w:sz="4" w:space="0" w:color="D9D9D9"/>
          </w:tcBorders>
        </w:tcPr>
        <w:p w14:paraId="3E76DB31" w14:textId="77777777" w:rsidR="00B23DF1" w:rsidRDefault="00000000">
          <w:pPr>
            <w:pBdr>
              <w:top w:val="nil"/>
              <w:left w:val="nil"/>
              <w:bottom w:val="nil"/>
              <w:right w:val="nil"/>
              <w:between w:val="nil"/>
            </w:pBdr>
            <w:spacing w:after="0" w:line="240" w:lineRule="auto"/>
            <w:ind w:left="-110" w:right="-192" w:firstLine="0"/>
            <w:jc w:val="left"/>
            <w:rPr>
              <w:rFonts w:ascii="Calibri" w:hAnsi="Calibri"/>
              <w:sz w:val="19"/>
              <w:szCs w:val="19"/>
            </w:rPr>
          </w:pPr>
          <w:r>
            <w:rPr>
              <w:rFonts w:ascii="Calibri" w:hAnsi="Calibri"/>
              <w:sz w:val="19"/>
              <w:szCs w:val="19"/>
            </w:rPr>
            <w:t xml:space="preserve">Received       </w:t>
          </w:r>
        </w:p>
        <w:p w14:paraId="70C3CA87" w14:textId="77777777" w:rsidR="00B23DF1" w:rsidRDefault="00000000">
          <w:pPr>
            <w:pBdr>
              <w:top w:val="nil"/>
              <w:left w:val="nil"/>
              <w:bottom w:val="nil"/>
              <w:right w:val="nil"/>
              <w:between w:val="nil"/>
            </w:pBdr>
            <w:spacing w:after="0" w:line="240" w:lineRule="auto"/>
            <w:ind w:left="-110" w:right="-192" w:firstLine="0"/>
            <w:jc w:val="left"/>
            <w:rPr>
              <w:rFonts w:ascii="Calibri" w:hAnsi="Calibri"/>
              <w:sz w:val="19"/>
              <w:szCs w:val="19"/>
            </w:rPr>
          </w:pPr>
          <w:r>
            <w:rPr>
              <w:rFonts w:ascii="Calibri" w:hAnsi="Calibri"/>
              <w:sz w:val="19"/>
              <w:szCs w:val="19"/>
            </w:rPr>
            <w:t>Final Revised</w:t>
          </w:r>
        </w:p>
        <w:p w14:paraId="223D942E" w14:textId="77777777" w:rsidR="00B23DF1" w:rsidRDefault="00000000">
          <w:pPr>
            <w:pBdr>
              <w:top w:val="nil"/>
              <w:left w:val="nil"/>
              <w:bottom w:val="nil"/>
              <w:right w:val="nil"/>
              <w:between w:val="nil"/>
            </w:pBdr>
            <w:spacing w:after="0" w:line="240" w:lineRule="auto"/>
            <w:ind w:left="-110" w:right="-192" w:firstLine="0"/>
            <w:jc w:val="left"/>
            <w:rPr>
              <w:rFonts w:ascii="Calibri" w:hAnsi="Calibri"/>
              <w:b/>
              <w:sz w:val="19"/>
              <w:szCs w:val="19"/>
              <w:highlight w:val="yellow"/>
            </w:rPr>
          </w:pPr>
          <w:r>
            <w:rPr>
              <w:rFonts w:ascii="Calibri" w:hAnsi="Calibri"/>
              <w:sz w:val="19"/>
              <w:szCs w:val="19"/>
            </w:rPr>
            <w:t xml:space="preserve">Accepted    </w:t>
          </w:r>
          <w:r>
            <w:rPr>
              <w:rFonts w:ascii="Calibri" w:hAnsi="Calibri"/>
              <w:sz w:val="19"/>
              <w:szCs w:val="19"/>
            </w:rPr>
            <w:br/>
            <w:t xml:space="preserve">Published  </w:t>
          </w:r>
        </w:p>
      </w:tc>
      <w:tc>
        <w:tcPr>
          <w:tcW w:w="1914" w:type="dxa"/>
          <w:tcBorders>
            <w:bottom w:val="single" w:sz="4" w:space="0" w:color="D9D9D9"/>
          </w:tcBorders>
        </w:tcPr>
        <w:p w14:paraId="2F6A7B5C" w14:textId="77777777" w:rsidR="00B23DF1" w:rsidRDefault="00000000">
          <w:pPr>
            <w:pBdr>
              <w:top w:val="nil"/>
              <w:left w:val="nil"/>
              <w:bottom w:val="nil"/>
              <w:right w:val="nil"/>
              <w:between w:val="nil"/>
            </w:pBdr>
            <w:spacing w:after="0" w:line="240" w:lineRule="auto"/>
            <w:ind w:right="-113" w:firstLine="0"/>
            <w:jc w:val="left"/>
            <w:rPr>
              <w:rFonts w:ascii="Calibri" w:hAnsi="Calibri"/>
              <w:sz w:val="19"/>
              <w:szCs w:val="19"/>
              <w:highlight w:val="yellow"/>
            </w:rPr>
          </w:pPr>
          <w:r>
            <w:rPr>
              <w:rFonts w:ascii="Calibri" w:hAnsi="Calibri"/>
              <w:sz w:val="19"/>
              <w:szCs w:val="19"/>
              <w:highlight w:val="yellow"/>
            </w:rPr>
            <w:t>: July 12, 20xx</w:t>
          </w:r>
          <w:r>
            <w:rPr>
              <w:rFonts w:ascii="Calibri" w:hAnsi="Calibri"/>
              <w:sz w:val="19"/>
              <w:szCs w:val="19"/>
              <w:highlight w:val="yellow"/>
            </w:rPr>
            <w:br/>
            <w:t>: September 31, 20xx</w:t>
          </w:r>
        </w:p>
        <w:p w14:paraId="230B3950" w14:textId="77777777" w:rsidR="00B23DF1" w:rsidRDefault="00000000">
          <w:pPr>
            <w:pBdr>
              <w:top w:val="nil"/>
              <w:left w:val="nil"/>
              <w:bottom w:val="nil"/>
              <w:right w:val="nil"/>
              <w:between w:val="nil"/>
            </w:pBdr>
            <w:spacing w:after="0" w:line="240" w:lineRule="auto"/>
            <w:ind w:right="-113" w:firstLine="0"/>
            <w:jc w:val="left"/>
            <w:rPr>
              <w:rFonts w:ascii="Calibri" w:hAnsi="Calibri"/>
              <w:b/>
              <w:sz w:val="19"/>
              <w:szCs w:val="19"/>
              <w:highlight w:val="yellow"/>
            </w:rPr>
          </w:pPr>
          <w:r>
            <w:rPr>
              <w:rFonts w:ascii="Calibri" w:hAnsi="Calibri"/>
              <w:sz w:val="19"/>
              <w:szCs w:val="19"/>
              <w:highlight w:val="yellow"/>
            </w:rPr>
            <w:t>: December 27, 20xx</w:t>
          </w:r>
          <w:r>
            <w:rPr>
              <w:rFonts w:ascii="Calibri" w:hAnsi="Calibri"/>
              <w:sz w:val="19"/>
              <w:szCs w:val="19"/>
              <w:highlight w:val="yellow"/>
            </w:rPr>
            <w:br/>
            <w:t>: December 27, 20xx</w:t>
          </w:r>
        </w:p>
      </w:tc>
    </w:tr>
    <w:tr w:rsidR="00B23DF1" w14:paraId="049EDB65" w14:textId="77777777">
      <w:trPr>
        <w:trHeight w:val="358"/>
      </w:trPr>
      <w:tc>
        <w:tcPr>
          <w:tcW w:w="9122" w:type="dxa"/>
          <w:gridSpan w:val="3"/>
          <w:tcBorders>
            <w:top w:val="single" w:sz="4" w:space="0" w:color="D9D9D9"/>
          </w:tcBorders>
        </w:tcPr>
        <w:p w14:paraId="72D8DCE3" w14:textId="77777777" w:rsidR="00B23DF1" w:rsidRDefault="00000000">
          <w:pPr>
            <w:pBdr>
              <w:top w:val="nil"/>
              <w:left w:val="nil"/>
              <w:bottom w:val="nil"/>
              <w:right w:val="nil"/>
              <w:between w:val="nil"/>
            </w:pBdr>
            <w:spacing w:before="80" w:after="0" w:line="276" w:lineRule="auto"/>
            <w:ind w:right="-115" w:firstLine="0"/>
            <w:jc w:val="center"/>
            <w:rPr>
              <w:rFonts w:ascii="Calibri" w:hAnsi="Calibri"/>
              <w:sz w:val="19"/>
              <w:szCs w:val="19"/>
            </w:rPr>
          </w:pPr>
          <w:r>
            <w:rPr>
              <w:rFonts w:ascii="Calibri" w:hAnsi="Calibri"/>
              <w:sz w:val="19"/>
              <w:szCs w:val="19"/>
            </w:rPr>
            <w:t xml:space="preserve">© 2024 The Author(s) | Published by </w:t>
          </w:r>
          <w:hyperlink r:id="rId1">
            <w:r w:rsidR="00B23DF1">
              <w:rPr>
                <w:rFonts w:ascii="Calibri" w:hAnsi="Calibri"/>
                <w:b/>
                <w:color w:val="0563C1"/>
                <w:sz w:val="19"/>
                <w:szCs w:val="19"/>
              </w:rPr>
              <w:t>Integra Academic Press</w:t>
            </w:r>
          </w:hyperlink>
          <w:r>
            <w:rPr>
              <w:rFonts w:ascii="Calibri" w:hAnsi="Calibri"/>
              <w:sz w:val="19"/>
              <w:szCs w:val="19"/>
            </w:rPr>
            <w:t xml:space="preserve"> | This article is an open access article and distributed under the terms and conditions of the Creative Commons Attribution (</w:t>
          </w:r>
          <w:hyperlink r:id="rId2">
            <w:r w:rsidR="00B23DF1">
              <w:rPr>
                <w:rFonts w:ascii="Calibri" w:hAnsi="Calibri"/>
                <w:color w:val="0563C1"/>
                <w:sz w:val="19"/>
                <w:szCs w:val="19"/>
              </w:rPr>
              <w:t>CC BY-SA</w:t>
            </w:r>
          </w:hyperlink>
          <w:r>
            <w:rPr>
              <w:rFonts w:ascii="Calibri" w:hAnsi="Calibri"/>
              <w:sz w:val="19"/>
              <w:szCs w:val="19"/>
            </w:rPr>
            <w:t>) license.</w:t>
          </w:r>
        </w:p>
      </w:tc>
    </w:tr>
  </w:tbl>
  <w:p w14:paraId="5D535222" w14:textId="77777777" w:rsidR="00B23DF1" w:rsidRDefault="00000000">
    <w:pPr>
      <w:spacing w:after="160" w:line="259" w:lineRule="auto"/>
      <w:ind w:right="0" w:firstLine="0"/>
      <w:jc w:val="left"/>
      <w:rPr>
        <w:sz w:val="20"/>
        <w:szCs w:val="20"/>
      </w:rPr>
    </w:pPr>
    <w:r>
      <w:rPr>
        <w:noProof/>
      </w:rPr>
      <mc:AlternateContent>
        <mc:Choice Requires="wps">
          <w:drawing>
            <wp:anchor distT="0" distB="0" distL="0" distR="0" simplePos="0" relativeHeight="251658240" behindDoc="1" locked="0" layoutInCell="1" hidden="0" allowOverlap="1" wp14:anchorId="6E8898DF" wp14:editId="095D95E1">
              <wp:simplePos x="0" y="0"/>
              <wp:positionH relativeFrom="column">
                <wp:posOffset>-901699</wp:posOffset>
              </wp:positionH>
              <wp:positionV relativeFrom="paragraph">
                <wp:posOffset>8737600</wp:posOffset>
              </wp:positionV>
              <wp:extent cx="7576820" cy="2004980"/>
              <wp:effectExtent l="0" t="0" r="0" b="0"/>
              <wp:wrapNone/>
              <wp:docPr id="2128715105" name="Rectangle 2128715105"/>
              <wp:cNvGraphicFramePr/>
              <a:graphic xmlns:a="http://schemas.openxmlformats.org/drawingml/2006/main">
                <a:graphicData uri="http://schemas.microsoft.com/office/word/2010/wordprocessingShape">
                  <wps:wsp>
                    <wps:cNvSpPr/>
                    <wps:spPr>
                      <a:xfrm>
                        <a:off x="1571878" y="2791798"/>
                        <a:ext cx="7548245" cy="1976405"/>
                      </a:xfrm>
                      <a:prstGeom prst="rect">
                        <a:avLst/>
                      </a:prstGeom>
                      <a:solidFill>
                        <a:srgbClr val="F9F9F9"/>
                      </a:solidFill>
                      <a:ln>
                        <a:noFill/>
                      </a:ln>
                    </wps:spPr>
                    <wps:txbx>
                      <w:txbxContent>
                        <w:p w14:paraId="6A100978" w14:textId="77777777" w:rsidR="00B23DF1" w:rsidRDefault="00B23DF1">
                          <w:pPr>
                            <w:spacing w:after="0" w:line="240" w:lineRule="auto"/>
                            <w:ind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8898DF" id="Rectangle 2128715105" o:spid="_x0000_s1026" style="position:absolute;margin-left:-71pt;margin-top:688pt;width:596.6pt;height:157.8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" fillcolor="#f9f9f9" stroked="f">
              <v:textbox inset="2.53958mm,2.53958mm,2.53958mm,2.53958mm">
                <w:txbxContent>
                  <w:p w14:paraId="6A100978" w14:textId="77777777" w:rsidR="00B23DF1" w:rsidRDefault="00B23DF1">
                    <w:pPr>
                      <w:spacing w:after="0" w:line="240" w:lineRule="auto"/>
                      <w:ind w:right="0" w:firstLine="0"/>
                      <w:jc w:val="left"/>
                      <w:textDirection w:val="btLr"/>
                    </w:pP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CFC06" w14:textId="77777777" w:rsidR="00B23DF1" w:rsidRDefault="00000000">
    <w:pPr>
      <w:spacing w:after="0" w:line="259" w:lineRule="auto"/>
      <w:ind w:right="0" w:firstLine="0"/>
      <w:jc w:val="center"/>
      <w:rPr>
        <w:rFonts w:ascii="Calibri" w:hAnsi="Calibri"/>
      </w:rPr>
    </w:pPr>
    <w:r>
      <w:rPr>
        <w:rFonts w:ascii="Calibri" w:hAnsi="Calibri"/>
      </w:rPr>
      <w:fldChar w:fldCharType="begin"/>
    </w:r>
    <w:r>
      <w:rPr>
        <w:rFonts w:ascii="Calibri" w:hAnsi="Calibri"/>
      </w:rPr>
      <w:instrText>PAGE</w:instrText>
    </w:r>
    <w:r>
      <w:rPr>
        <w:rFonts w:ascii="Calibri" w:hAnsi="Calibri"/>
      </w:rPr>
      <w:fldChar w:fldCharType="separate"/>
    </w:r>
    <w:r w:rsidR="00054CEF">
      <w:rPr>
        <w:rFonts w:ascii="Calibri" w:hAnsi="Calibri"/>
        <w:noProof/>
      </w:rPr>
      <w:t>2</w:t>
    </w:r>
    <w:r>
      <w:rPr>
        <w:rFonts w:ascii="Calibri" w:hAnsi="Calibr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B8DD1" w14:textId="4A990AA9" w:rsidR="00B23DF1" w:rsidRDefault="00000000">
    <w:pPr>
      <w:spacing w:after="0" w:line="259" w:lineRule="auto"/>
      <w:ind w:right="0" w:firstLine="0"/>
      <w:jc w:val="center"/>
      <w:rPr>
        <w:rFonts w:ascii="Calibri" w:hAnsi="Calibri"/>
      </w:rPr>
    </w:pPr>
    <w:r>
      <w:rPr>
        <w:rFonts w:ascii="Calibri" w:hAnsi="Calibri"/>
      </w:rPr>
      <w:fldChar w:fldCharType="begin"/>
    </w:r>
    <w:r>
      <w:rPr>
        <w:rFonts w:ascii="Calibri" w:hAnsi="Calibri"/>
      </w:rPr>
      <w:instrText>PAGE</w:instrText>
    </w:r>
    <w:r>
      <w:rPr>
        <w:rFonts w:ascii="Calibri" w:hAnsi="Calibri"/>
      </w:rPr>
      <w:fldChar w:fldCharType="separate"/>
    </w:r>
    <w:r w:rsidR="00054CEF">
      <w:rPr>
        <w:rFonts w:ascii="Calibri" w:hAnsi="Calibri"/>
        <w:noProof/>
      </w:rPr>
      <w:t>3</w:t>
    </w:r>
    <w:r>
      <w:rPr>
        <w:rFonts w:ascii="Calibri" w:hAnsi="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5E34" w14:textId="77777777" w:rsidR="00B23DF1" w:rsidRDefault="00000000">
    <w:pPr>
      <w:spacing w:after="0" w:line="259" w:lineRule="auto"/>
      <w:ind w:left="-274" w:right="0" w:firstLine="0"/>
      <w:jc w:val="lef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EFA1F" w14:textId="77777777" w:rsidR="006C1B0A" w:rsidRDefault="006C1B0A">
      <w:pPr>
        <w:spacing w:after="0" w:line="240" w:lineRule="auto"/>
      </w:pPr>
      <w:r>
        <w:separator/>
      </w:r>
    </w:p>
  </w:footnote>
  <w:footnote w:type="continuationSeparator" w:id="0">
    <w:p w14:paraId="16E67D27" w14:textId="77777777" w:rsidR="006C1B0A" w:rsidRDefault="006C1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9D88" w14:textId="77777777" w:rsidR="00B23DF1" w:rsidRDefault="00B23DF1">
    <w:pPr>
      <w:pBdr>
        <w:bottom w:val="single" w:sz="6" w:space="1" w:color="000000"/>
      </w:pBdr>
      <w:spacing w:after="0" w:line="259" w:lineRule="auto"/>
      <w:ind w:right="70" w:firstLine="0"/>
      <w:jc w:val="right"/>
      <w:rPr>
        <w:sz w:val="20"/>
        <w:szCs w:val="20"/>
      </w:rPr>
    </w:pPr>
  </w:p>
  <w:p w14:paraId="66944EA9" w14:textId="77777777" w:rsidR="00B23DF1" w:rsidRDefault="00000000">
    <w:pPr>
      <w:pBdr>
        <w:bottom w:val="single" w:sz="6" w:space="1" w:color="000000"/>
      </w:pBdr>
      <w:spacing w:after="0" w:line="360" w:lineRule="auto"/>
      <w:ind w:right="70" w:firstLine="0"/>
      <w:jc w:val="right"/>
      <w:rPr>
        <w:sz w:val="22"/>
        <w:szCs w:val="22"/>
      </w:rPr>
    </w:pPr>
    <w:r>
      <w:rPr>
        <w:sz w:val="22"/>
        <w:szCs w:val="22"/>
      </w:rPr>
      <w:t xml:space="preserve">Title of article… </w:t>
    </w:r>
  </w:p>
  <w:p w14:paraId="629A84BB" w14:textId="77777777" w:rsidR="00B23DF1" w:rsidRDefault="00B23DF1">
    <w:pPr>
      <w:spacing w:after="0" w:line="259" w:lineRule="auto"/>
      <w:ind w:right="7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28CD" w14:textId="77777777" w:rsidR="00B23DF1" w:rsidRDefault="00B23DF1">
    <w:pPr>
      <w:pBdr>
        <w:bottom w:val="single" w:sz="12" w:space="1" w:color="000000"/>
      </w:pBdr>
      <w:spacing w:after="16" w:line="259" w:lineRule="auto"/>
      <w:ind w:right="-20" w:firstLine="0"/>
      <w:jc w:val="right"/>
      <w:rPr>
        <w:sz w:val="20"/>
        <w:szCs w:val="20"/>
      </w:rPr>
    </w:pPr>
  </w:p>
  <w:p w14:paraId="3622EFD4" w14:textId="77777777" w:rsidR="00B23DF1" w:rsidRDefault="00000000">
    <w:pPr>
      <w:pBdr>
        <w:bottom w:val="single" w:sz="12" w:space="1" w:color="000000"/>
      </w:pBdr>
      <w:spacing w:after="16" w:line="360" w:lineRule="auto"/>
      <w:ind w:right="-20" w:firstLine="0"/>
      <w:jc w:val="right"/>
      <w:rPr>
        <w:sz w:val="22"/>
        <w:szCs w:val="22"/>
      </w:rPr>
    </w:pPr>
    <w:r>
      <w:rPr>
        <w:sz w:val="22"/>
        <w:szCs w:val="22"/>
      </w:rPr>
      <w:t>Author 1, Author 2, &amp; Author 3</w:t>
    </w:r>
  </w:p>
  <w:p w14:paraId="75576A0F" w14:textId="77777777" w:rsidR="00B23DF1" w:rsidRDefault="00000000">
    <w:pPr>
      <w:spacing w:after="0" w:line="259" w:lineRule="auto"/>
      <w:ind w:right="-20" w:firstLine="0"/>
      <w:jc w:val="right"/>
    </w:pPr>
    <w:r>
      <w:rPr>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893D" w14:textId="77777777" w:rsidR="00B23DF1" w:rsidRDefault="00B23DF1">
    <w:pPr>
      <w:widowControl w:val="0"/>
      <w:pBdr>
        <w:top w:val="nil"/>
        <w:left w:val="nil"/>
        <w:bottom w:val="nil"/>
        <w:right w:val="nil"/>
        <w:between w:val="nil"/>
      </w:pBdr>
      <w:spacing w:after="0" w:line="276" w:lineRule="auto"/>
      <w:ind w:right="0" w:firstLine="0"/>
      <w:jc w:val="left"/>
    </w:pPr>
  </w:p>
  <w:tbl>
    <w:tblPr>
      <w:tblStyle w:val="a9"/>
      <w:tblW w:w="9000" w:type="dxa"/>
      <w:tblBorders>
        <w:top w:val="nil"/>
        <w:left w:val="nil"/>
        <w:bottom w:val="nil"/>
        <w:right w:val="nil"/>
        <w:insideH w:val="nil"/>
        <w:insideV w:val="nil"/>
      </w:tblBorders>
      <w:tblLayout w:type="fixed"/>
      <w:tblLook w:val="0400" w:firstRow="0" w:lastRow="0" w:firstColumn="0" w:lastColumn="0" w:noHBand="0" w:noVBand="1"/>
    </w:tblPr>
    <w:tblGrid>
      <w:gridCol w:w="7020"/>
      <w:gridCol w:w="1980"/>
    </w:tblGrid>
    <w:tr w:rsidR="00B23DF1" w14:paraId="4EA0ADBD" w14:textId="77777777">
      <w:trPr>
        <w:trHeight w:val="543"/>
      </w:trPr>
      <w:tc>
        <w:tcPr>
          <w:tcW w:w="7020" w:type="dxa"/>
          <w:tcBorders>
            <w:top w:val="nil"/>
            <w:left w:val="nil"/>
            <w:bottom w:val="nil"/>
            <w:right w:val="nil"/>
          </w:tcBorders>
        </w:tcPr>
        <w:p w14:paraId="0FCBBF55" w14:textId="2DE4D285" w:rsidR="00B23DF1" w:rsidRDefault="00DE5A5D">
          <w:pPr>
            <w:pBdr>
              <w:top w:val="nil"/>
              <w:left w:val="nil"/>
              <w:bottom w:val="nil"/>
              <w:right w:val="nil"/>
              <w:between w:val="nil"/>
            </w:pBdr>
            <w:spacing w:line="240" w:lineRule="auto"/>
            <w:ind w:firstLine="0"/>
            <w:jc w:val="left"/>
            <w:rPr>
              <w:rFonts w:ascii="Calibri" w:hAnsi="Calibri"/>
              <w:b/>
              <w:sz w:val="28"/>
              <w:szCs w:val="28"/>
            </w:rPr>
          </w:pPr>
          <w:r w:rsidRPr="00DE5A5D">
            <w:rPr>
              <w:rFonts w:ascii="Calibri" w:hAnsi="Calibri"/>
              <w:b/>
              <w:sz w:val="28"/>
              <w:szCs w:val="28"/>
            </w:rPr>
            <w:t>FINANCE INNOVATIONS DIGES</w:t>
          </w:r>
        </w:p>
        <w:p w14:paraId="1677CF03" w14:textId="3A2CC908" w:rsidR="00B23DF1" w:rsidRDefault="00000000">
          <w:pPr>
            <w:pBdr>
              <w:top w:val="nil"/>
              <w:left w:val="nil"/>
              <w:bottom w:val="nil"/>
              <w:right w:val="nil"/>
              <w:between w:val="nil"/>
            </w:pBdr>
            <w:spacing w:line="240" w:lineRule="auto"/>
            <w:ind w:firstLine="0"/>
            <w:jc w:val="left"/>
            <w:rPr>
              <w:rFonts w:ascii="Calibri" w:hAnsi="Calibri"/>
              <w:color w:val="3B3838"/>
              <w:sz w:val="19"/>
              <w:szCs w:val="19"/>
              <w:highlight w:val="yellow"/>
            </w:rPr>
          </w:pPr>
          <w:r w:rsidRPr="00B23F5E">
            <w:rPr>
              <w:rFonts w:ascii="Calibri" w:hAnsi="Calibri"/>
              <w:color w:val="3B3838"/>
              <w:sz w:val="19"/>
              <w:szCs w:val="19"/>
            </w:rPr>
            <w:t xml:space="preserve">Volume </w:t>
          </w:r>
          <w:r w:rsidR="00B23F5E" w:rsidRPr="00B23F5E">
            <w:rPr>
              <w:rFonts w:ascii="Calibri" w:hAnsi="Calibri"/>
              <w:color w:val="3B3838"/>
              <w:sz w:val="19"/>
              <w:szCs w:val="19"/>
            </w:rPr>
            <w:t>4</w:t>
          </w:r>
          <w:r w:rsidRPr="00B23F5E">
            <w:rPr>
              <w:rFonts w:ascii="Calibri" w:hAnsi="Calibri"/>
              <w:color w:val="3B3838"/>
              <w:sz w:val="19"/>
              <w:szCs w:val="19"/>
            </w:rPr>
            <w:t xml:space="preserve">, Issue </w:t>
          </w:r>
          <w:r w:rsidR="00B23F5E" w:rsidRPr="00B23F5E">
            <w:rPr>
              <w:rFonts w:ascii="Calibri" w:hAnsi="Calibri"/>
              <w:color w:val="3B3838"/>
              <w:sz w:val="19"/>
              <w:szCs w:val="19"/>
            </w:rPr>
            <w:t>1</w:t>
          </w:r>
          <w:r w:rsidRPr="00B23F5E">
            <w:rPr>
              <w:rFonts w:ascii="Calibri" w:hAnsi="Calibri"/>
              <w:color w:val="3B3838"/>
              <w:sz w:val="19"/>
              <w:szCs w:val="19"/>
            </w:rPr>
            <w:t xml:space="preserve">, </w:t>
          </w:r>
          <w:r w:rsidR="00B23F5E" w:rsidRPr="00B23F5E">
            <w:rPr>
              <w:rFonts w:ascii="Calibri" w:hAnsi="Calibri"/>
              <w:color w:val="3B3838"/>
              <w:sz w:val="19"/>
              <w:szCs w:val="19"/>
            </w:rPr>
            <w:t>June</w:t>
          </w:r>
          <w:r w:rsidRPr="00B23F5E">
            <w:rPr>
              <w:rFonts w:ascii="Calibri" w:hAnsi="Calibri"/>
              <w:color w:val="3B3838"/>
              <w:sz w:val="19"/>
              <w:szCs w:val="19"/>
            </w:rPr>
            <w:t xml:space="preserve"> 20</w:t>
          </w:r>
          <w:r w:rsidR="00B23F5E" w:rsidRPr="00B23F5E">
            <w:rPr>
              <w:rFonts w:ascii="Calibri" w:hAnsi="Calibri"/>
              <w:color w:val="3B3838"/>
              <w:sz w:val="19"/>
              <w:szCs w:val="19"/>
            </w:rPr>
            <w:t>26</w:t>
          </w:r>
          <w:r w:rsidRPr="00B23F5E">
            <w:rPr>
              <w:rFonts w:ascii="Calibri" w:hAnsi="Calibri"/>
              <w:color w:val="3B3838"/>
              <w:sz w:val="19"/>
              <w:szCs w:val="19"/>
            </w:rPr>
            <w:t xml:space="preserve"> </w:t>
          </w:r>
          <w:r>
            <w:rPr>
              <w:rFonts w:ascii="Calibri" w:hAnsi="Calibri"/>
              <w:color w:val="3B3838"/>
              <w:sz w:val="19"/>
              <w:szCs w:val="19"/>
              <w:highlight w:val="yellow"/>
            </w:rPr>
            <w:t xml:space="preserve">| pp. xx-xxx </w:t>
          </w:r>
        </w:p>
        <w:p w14:paraId="0D4D633C" w14:textId="77777777" w:rsidR="00B23DF1" w:rsidRDefault="00000000">
          <w:pPr>
            <w:pBdr>
              <w:top w:val="nil"/>
              <w:left w:val="nil"/>
              <w:bottom w:val="nil"/>
              <w:right w:val="nil"/>
              <w:between w:val="nil"/>
            </w:pBdr>
            <w:spacing w:line="240" w:lineRule="auto"/>
            <w:ind w:firstLine="0"/>
            <w:jc w:val="left"/>
            <w:rPr>
              <w:color w:val="222A35"/>
              <w:sz w:val="18"/>
              <w:szCs w:val="18"/>
            </w:rPr>
          </w:pPr>
          <w:r>
            <w:rPr>
              <w:rFonts w:ascii="Calibri" w:hAnsi="Calibri"/>
              <w:color w:val="3B3838"/>
              <w:sz w:val="19"/>
              <w:szCs w:val="19"/>
              <w:highlight w:val="yellow"/>
            </w:rPr>
            <w:t>https://doi.org/00.0000.000/xxxxx</w:t>
          </w:r>
        </w:p>
      </w:tc>
      <w:tc>
        <w:tcPr>
          <w:tcW w:w="1980" w:type="dxa"/>
          <w:tcBorders>
            <w:top w:val="nil"/>
            <w:left w:val="nil"/>
            <w:bottom w:val="nil"/>
            <w:right w:val="nil"/>
          </w:tcBorders>
          <w:vAlign w:val="center"/>
        </w:tcPr>
        <w:p w14:paraId="6CE4B0AA" w14:textId="77777777" w:rsidR="00B23DF1" w:rsidRDefault="00000000">
          <w:pPr>
            <w:pBdr>
              <w:top w:val="nil"/>
              <w:left w:val="nil"/>
              <w:bottom w:val="nil"/>
              <w:right w:val="nil"/>
              <w:between w:val="nil"/>
            </w:pBdr>
            <w:spacing w:line="240" w:lineRule="auto"/>
            <w:ind w:right="-105" w:firstLine="0"/>
            <w:jc w:val="center"/>
            <w:rPr>
              <w:sz w:val="22"/>
              <w:szCs w:val="22"/>
            </w:rPr>
          </w:pPr>
          <w:r>
            <w:rPr>
              <w:noProof/>
              <w:sz w:val="22"/>
              <w:szCs w:val="22"/>
            </w:rPr>
            <w:drawing>
              <wp:inline distT="0" distB="0" distL="0" distR="0" wp14:anchorId="76DA88A1" wp14:editId="38B87104">
                <wp:extent cx="1071116" cy="231592"/>
                <wp:effectExtent l="0" t="0" r="0" b="0"/>
                <wp:docPr id="21287151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71116" cy="231592"/>
                        </a:xfrm>
                        <a:prstGeom prst="rect">
                          <a:avLst/>
                        </a:prstGeom>
                        <a:ln/>
                      </pic:spPr>
                    </pic:pic>
                  </a:graphicData>
                </a:graphic>
              </wp:inline>
            </w:drawing>
          </w:r>
          <w:r>
            <w:rPr>
              <w:sz w:val="22"/>
              <w:szCs w:val="22"/>
            </w:rPr>
            <w:t xml:space="preserve"> </w:t>
          </w:r>
        </w:p>
        <w:p w14:paraId="1C5A489F" w14:textId="77777777" w:rsidR="00B23DF1" w:rsidRDefault="00000000">
          <w:pPr>
            <w:pBdr>
              <w:top w:val="nil"/>
              <w:left w:val="nil"/>
              <w:bottom w:val="nil"/>
              <w:right w:val="nil"/>
              <w:between w:val="nil"/>
            </w:pBdr>
            <w:spacing w:before="80" w:line="240" w:lineRule="auto"/>
            <w:ind w:right="-101" w:firstLine="0"/>
            <w:jc w:val="center"/>
            <w:rPr>
              <w:rFonts w:ascii="Calibri" w:hAnsi="Calibri"/>
              <w:b/>
              <w:color w:val="222A35"/>
              <w:sz w:val="22"/>
              <w:szCs w:val="22"/>
            </w:rPr>
          </w:pPr>
          <w:r>
            <w:rPr>
              <w:rFonts w:ascii="Calibri" w:hAnsi="Calibri"/>
              <w:b/>
              <w:noProof/>
              <w:color w:val="222A35"/>
              <w:sz w:val="22"/>
              <w:szCs w:val="22"/>
            </w:rPr>
            <w:drawing>
              <wp:inline distT="0" distB="0" distL="0" distR="0" wp14:anchorId="16D468EB" wp14:editId="6DC9B744">
                <wp:extent cx="1105742" cy="239079"/>
                <wp:effectExtent l="0" t="0" r="0" b="0"/>
                <wp:docPr id="21287151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05742" cy="239079"/>
                        </a:xfrm>
                        <a:prstGeom prst="rect">
                          <a:avLst/>
                        </a:prstGeom>
                        <a:ln/>
                      </pic:spPr>
                    </pic:pic>
                  </a:graphicData>
                </a:graphic>
              </wp:inline>
            </w:drawing>
          </w:r>
        </w:p>
      </w:tc>
    </w:tr>
  </w:tbl>
  <w:p w14:paraId="05360B6C" w14:textId="77777777" w:rsidR="00B23DF1" w:rsidRDefault="00B23DF1">
    <w:pPr>
      <w:pBdr>
        <w:top w:val="nil"/>
        <w:left w:val="nil"/>
        <w:bottom w:val="single" w:sz="12" w:space="0" w:color="000000"/>
        <w:right w:val="nil"/>
        <w:between w:val="nil"/>
      </w:pBdr>
      <w:spacing w:line="240" w:lineRule="auto"/>
      <w:ind w:right="26" w:firstLine="0"/>
      <w:jc w:val="left"/>
      <w:rPr>
        <w:rFonts w:ascii="Calibri" w:hAnsi="Calibri"/>
        <w:sz w:val="16"/>
        <w:szCs w:val="16"/>
      </w:rPr>
    </w:pPr>
  </w:p>
  <w:p w14:paraId="0560E6F6" w14:textId="77777777" w:rsidR="00B23DF1" w:rsidRDefault="00B23DF1">
    <w:pPr>
      <w:pBdr>
        <w:top w:val="nil"/>
        <w:left w:val="nil"/>
        <w:bottom w:val="nil"/>
        <w:right w:val="nil"/>
        <w:between w:val="nil"/>
      </w:pBdr>
      <w:tabs>
        <w:tab w:val="center" w:pos="4680"/>
        <w:tab w:val="right" w:pos="9360"/>
      </w:tabs>
      <w:spacing w:after="0" w:line="240" w:lineRule="auto"/>
      <w:ind w:firstLine="0"/>
      <w:rPr>
        <w:rFonts w:eastAsia="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7AA69" w14:textId="77777777" w:rsidR="00B23DF1" w:rsidRDefault="00000000">
    <w:pPr>
      <w:spacing w:after="0" w:line="259" w:lineRule="auto"/>
      <w:ind w:right="-227" w:firstLine="0"/>
      <w:jc w:val="right"/>
    </w:pPr>
    <w:r>
      <w:rPr>
        <w:sz w:val="20"/>
        <w:szCs w:val="20"/>
      </w:rPr>
      <w:t xml:space="preserve"> </w:t>
    </w:r>
  </w:p>
  <w:p w14:paraId="709139EF" w14:textId="28A1A641" w:rsidR="00B23DF1" w:rsidRDefault="00054CEF">
    <w:pPr>
      <w:pBdr>
        <w:bottom w:val="single" w:sz="12" w:space="1" w:color="000000"/>
      </w:pBdr>
      <w:spacing w:after="0" w:line="360" w:lineRule="auto"/>
      <w:ind w:right="14" w:firstLine="0"/>
      <w:jc w:val="left"/>
      <w:rPr>
        <w:rFonts w:ascii="Calibri" w:hAnsi="Calibri"/>
        <w:sz w:val="22"/>
        <w:szCs w:val="22"/>
      </w:rPr>
    </w:pPr>
    <w:r w:rsidRPr="00054CEF">
      <w:rPr>
        <w:rFonts w:ascii="Calibri" w:hAnsi="Calibri"/>
        <w:sz w:val="22"/>
        <w:szCs w:val="22"/>
      </w:rPr>
      <w:t>Erwin Nur Himawan</w:t>
    </w:r>
    <w:r>
      <w:rPr>
        <w:rFonts w:ascii="Calibri" w:hAnsi="Calibri"/>
        <w:sz w:val="22"/>
        <w:szCs w:val="22"/>
      </w:rPr>
      <w:t xml:space="preserve"> and</w:t>
    </w:r>
    <w:r w:rsidRPr="00054CEF">
      <w:rPr>
        <w:rFonts w:ascii="Calibri" w:hAnsi="Calibri"/>
        <w:sz w:val="22"/>
        <w:szCs w:val="22"/>
      </w:rPr>
      <w:t xml:space="preserve"> Farida Indriani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CFA7" w14:textId="77777777" w:rsidR="00B23DF1" w:rsidRDefault="00000000">
    <w:pPr>
      <w:spacing w:after="0" w:line="259" w:lineRule="auto"/>
      <w:ind w:right="14" w:firstLine="0"/>
    </w:pPr>
    <w:r>
      <w:rPr>
        <w:sz w:val="20"/>
        <w:szCs w:val="20"/>
      </w:rPr>
      <w:t xml:space="preserve"> </w:t>
    </w:r>
  </w:p>
  <w:p w14:paraId="3FEE1215" w14:textId="2F8C5F2F" w:rsidR="00B23DF1" w:rsidRDefault="00054CEF">
    <w:pPr>
      <w:pBdr>
        <w:bottom w:val="single" w:sz="12" w:space="1" w:color="000000"/>
      </w:pBdr>
      <w:spacing w:after="0" w:line="360" w:lineRule="auto"/>
      <w:ind w:right="14" w:firstLine="0"/>
      <w:jc w:val="right"/>
      <w:rPr>
        <w:rFonts w:ascii="Calibri" w:hAnsi="Calibri"/>
        <w:sz w:val="22"/>
        <w:szCs w:val="22"/>
      </w:rPr>
    </w:pPr>
    <w:r w:rsidRPr="00054CEF">
      <w:rPr>
        <w:rFonts w:ascii="Calibri" w:hAnsi="Calibri"/>
        <w:sz w:val="22"/>
        <w:szCs w:val="22"/>
      </w:rPr>
      <w:t>Service Quality, Trust, and Financial Behavior in</w:t>
    </w:r>
    <w:r>
      <w:rPr>
        <w:rFonts w:ascii="Calibri" w:hAnsi="Calibri"/>
        <w:sz w:val="22"/>
        <w:szCs w:val="22"/>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6402" w14:textId="77777777" w:rsidR="00B23DF1" w:rsidRDefault="00000000">
    <w:pPr>
      <w:spacing w:after="0" w:line="259" w:lineRule="auto"/>
      <w:ind w:right="-227" w:firstLine="0"/>
      <w:jc w:val="right"/>
    </w:pPr>
    <w:r>
      <w:rPr>
        <w:noProof/>
      </w:rPr>
      <mc:AlternateContent>
        <mc:Choice Requires="wpg">
          <w:drawing>
            <wp:anchor distT="0" distB="0" distL="114300" distR="114300" simplePos="0" relativeHeight="251659264" behindDoc="0" locked="0" layoutInCell="1" hidden="0" allowOverlap="1" wp14:anchorId="664B9DBF" wp14:editId="7DEF8D63">
              <wp:simplePos x="0" y="0"/>
              <wp:positionH relativeFrom="page">
                <wp:posOffset>684276</wp:posOffset>
              </wp:positionH>
              <wp:positionV relativeFrom="page">
                <wp:posOffset>806196</wp:posOffset>
              </wp:positionV>
              <wp:extent cx="6095746" cy="18288"/>
              <wp:effectExtent l="0" t="0" r="0" b="0"/>
              <wp:wrapSquare wrapText="bothSides" distT="0" distB="0" distL="114300" distR="114300"/>
              <wp:docPr id="2128715104" name="Group 2128715104"/>
              <wp:cNvGraphicFramePr/>
              <a:graphic xmlns:a="http://schemas.openxmlformats.org/drawingml/2006/main">
                <a:graphicData uri="http://schemas.microsoft.com/office/word/2010/wordprocessingGroup">
                  <wpg:wgp>
                    <wpg:cNvGrpSpPr/>
                    <wpg:grpSpPr>
                      <a:xfrm>
                        <a:off x="0" y="0"/>
                        <a:ext cx="6095746" cy="18288"/>
                        <a:chOff x="2298125" y="3770850"/>
                        <a:chExt cx="6095750" cy="18300"/>
                      </a:xfrm>
                    </wpg:grpSpPr>
                    <wpg:grpSp>
                      <wpg:cNvPr id="1406031493" name="Group 1406031493"/>
                      <wpg:cNvGrpSpPr/>
                      <wpg:grpSpPr>
                        <a:xfrm>
                          <a:off x="2298127" y="3770856"/>
                          <a:ext cx="6095746" cy="18288"/>
                          <a:chOff x="2298125" y="3770850"/>
                          <a:chExt cx="6095750" cy="18300"/>
                        </a:xfrm>
                      </wpg:grpSpPr>
                      <wps:wsp>
                        <wps:cNvPr id="746120047" name="Rectangle 746120047"/>
                        <wps:cNvSpPr/>
                        <wps:spPr>
                          <a:xfrm>
                            <a:off x="2298125" y="3770850"/>
                            <a:ext cx="6095750" cy="18300"/>
                          </a:xfrm>
                          <a:prstGeom prst="rect">
                            <a:avLst/>
                          </a:prstGeom>
                          <a:noFill/>
                          <a:ln>
                            <a:noFill/>
                          </a:ln>
                        </wps:spPr>
                        <wps:txbx>
                          <w:txbxContent>
                            <w:p w14:paraId="62D3A4D0" w14:textId="77777777" w:rsidR="00B23DF1" w:rsidRDefault="00B23DF1">
                              <w:pPr>
                                <w:spacing w:after="0" w:line="240" w:lineRule="auto"/>
                                <w:ind w:right="0" w:firstLine="0"/>
                                <w:jc w:val="left"/>
                                <w:textDirection w:val="btLr"/>
                              </w:pPr>
                            </w:p>
                          </w:txbxContent>
                        </wps:txbx>
                        <wps:bodyPr spcFirstLastPara="1" wrap="square" lIns="91425" tIns="91425" rIns="91425" bIns="91425" anchor="ctr" anchorCtr="0">
                          <a:noAutofit/>
                        </wps:bodyPr>
                      </wps:wsp>
                      <wpg:grpSp>
                        <wpg:cNvPr id="38001931" name="Group 38001931"/>
                        <wpg:cNvGrpSpPr/>
                        <wpg:grpSpPr>
                          <a:xfrm>
                            <a:off x="2298127" y="3770856"/>
                            <a:ext cx="6095746" cy="18288"/>
                            <a:chOff x="2298125" y="3770850"/>
                            <a:chExt cx="6095750" cy="18300"/>
                          </a:xfrm>
                        </wpg:grpSpPr>
                        <wps:wsp>
                          <wps:cNvPr id="1312878529" name="Rectangle 1312878529"/>
                          <wps:cNvSpPr/>
                          <wps:spPr>
                            <a:xfrm>
                              <a:off x="2298125" y="3770850"/>
                              <a:ext cx="6095750" cy="18300"/>
                            </a:xfrm>
                            <a:prstGeom prst="rect">
                              <a:avLst/>
                            </a:prstGeom>
                            <a:noFill/>
                            <a:ln>
                              <a:noFill/>
                            </a:ln>
                          </wps:spPr>
                          <wps:txbx>
                            <w:txbxContent>
                              <w:p w14:paraId="3BF75DF7" w14:textId="77777777" w:rsidR="00B23DF1" w:rsidRDefault="00B23DF1">
                                <w:pPr>
                                  <w:spacing w:after="0" w:line="240" w:lineRule="auto"/>
                                  <w:ind w:right="0" w:firstLine="0"/>
                                  <w:jc w:val="left"/>
                                  <w:textDirection w:val="btLr"/>
                                </w:pPr>
                              </w:p>
                            </w:txbxContent>
                          </wps:txbx>
                          <wps:bodyPr spcFirstLastPara="1" wrap="square" lIns="91425" tIns="91425" rIns="91425" bIns="91425" anchor="ctr" anchorCtr="0">
                            <a:noAutofit/>
                          </wps:bodyPr>
                        </wps:wsp>
                        <wpg:grpSp>
                          <wpg:cNvPr id="830639094" name="Group 830639094"/>
                          <wpg:cNvGrpSpPr/>
                          <wpg:grpSpPr>
                            <a:xfrm>
                              <a:off x="2298127" y="3770856"/>
                              <a:ext cx="6095746" cy="18288"/>
                              <a:chOff x="0" y="0"/>
                              <a:chExt cx="6095746" cy="18288"/>
                            </a:xfrm>
                          </wpg:grpSpPr>
                          <wps:wsp>
                            <wps:cNvPr id="970361999" name="Rectangle 970361999"/>
                            <wps:cNvSpPr/>
                            <wps:spPr>
                              <a:xfrm>
                                <a:off x="0" y="0"/>
                                <a:ext cx="6095725" cy="18275"/>
                              </a:xfrm>
                              <a:prstGeom prst="rect">
                                <a:avLst/>
                              </a:prstGeom>
                              <a:noFill/>
                              <a:ln>
                                <a:noFill/>
                              </a:ln>
                            </wps:spPr>
                            <wps:txbx>
                              <w:txbxContent>
                                <w:p w14:paraId="774BAA9C" w14:textId="77777777" w:rsidR="00B23DF1" w:rsidRDefault="00B23DF1">
                                  <w:pPr>
                                    <w:spacing w:after="0" w:line="240" w:lineRule="auto"/>
                                    <w:ind w:right="0" w:firstLine="0"/>
                                    <w:jc w:val="left"/>
                                    <w:textDirection w:val="btLr"/>
                                  </w:pPr>
                                </w:p>
                              </w:txbxContent>
                            </wps:txbx>
                            <wps:bodyPr spcFirstLastPara="1" wrap="square" lIns="91425" tIns="91425" rIns="91425" bIns="91425" anchor="ctr" anchorCtr="0">
                              <a:noAutofit/>
                            </wps:bodyPr>
                          </wps:wsp>
                          <wps:wsp>
                            <wps:cNvPr id="1677355510" name="Freeform: Shape 1677355510"/>
                            <wps:cNvSpPr/>
                            <wps:spPr>
                              <a:xfrm>
                                <a:off x="0" y="0"/>
                                <a:ext cx="6095746" cy="18288"/>
                              </a:xfrm>
                              <a:custGeom>
                                <a:avLst/>
                                <a:gdLst/>
                                <a:ahLst/>
                                <a:cxnLst/>
                                <a:rect l="l" t="t" r="r" b="b"/>
                                <a:pathLst>
                                  <a:path w="6095746" h="18288" extrusionOk="0">
                                    <a:moveTo>
                                      <a:pt x="0" y="0"/>
                                    </a:moveTo>
                                    <a:lnTo>
                                      <a:pt x="6095746" y="0"/>
                                    </a:lnTo>
                                    <a:lnTo>
                                      <a:pt x="6095746"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664B9DBF" id="Group 2128715104" o:spid="_x0000_s1027" style="position:absolute;left:0;text-align:left;margin-left:53.9pt;margin-top:63.5pt;width:480pt;height:1.45pt;z-index:251659264;mso-position-horizontal-relative:page;mso-position-vertical-relative:page" coordorigin="22981,37708" coordsize="6095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">
              <v:group id="Group 1406031493" o:spid="_x0000_s1028" style="position:absolute;left:22981;top:37708;width:60957;height:183" coordorigin="22981,37708" coordsize="6095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">
                <v:rect id="Rectangle 746120047" o:spid="_x0000_s1029" style="position:absolute;left:22981;top:37708;width:60957;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" filled="f" stroked="f">
                  <v:textbox inset="2.53958mm,2.53958mm,2.53958mm,2.53958mm">
                    <w:txbxContent>
                      <w:p w14:paraId="62D3A4D0" w14:textId="77777777" w:rsidR="00B23DF1" w:rsidRDefault="00B23DF1">
                        <w:pPr>
                          <w:spacing w:after="0" w:line="240" w:lineRule="auto"/>
                          <w:ind w:right="0" w:firstLine="0"/>
                          <w:jc w:val="left"/>
                          <w:textDirection w:val="btLr"/>
                        </w:pPr>
                      </w:p>
                    </w:txbxContent>
                  </v:textbox>
                </v:rect>
                <v:group id="Group 38001931" o:spid="_x0000_s1030" style="position:absolute;left:22981;top:37708;width:60957;height:183" coordorigin="22981,37708" coordsize="6095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">
                  <v:rect id="Rectangle 1312878529" o:spid="_x0000_s1031" style="position:absolute;left:22981;top:37708;width:60957;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" filled="f" stroked="f">
                    <v:textbox inset="2.53958mm,2.53958mm,2.53958mm,2.53958mm">
                      <w:txbxContent>
                        <w:p w14:paraId="3BF75DF7" w14:textId="77777777" w:rsidR="00B23DF1" w:rsidRDefault="00B23DF1">
                          <w:pPr>
                            <w:spacing w:after="0" w:line="240" w:lineRule="auto"/>
                            <w:ind w:right="0" w:firstLine="0"/>
                            <w:jc w:val="left"/>
                            <w:textDirection w:val="btLr"/>
                          </w:pPr>
                        </w:p>
                      </w:txbxContent>
                    </v:textbox>
                  </v:rect>
                  <v:group id="Group 830639094" o:spid="_x0000_s1032" style="position:absolute;left:22981;top:37708;width:60957;height:183" coordsize="6095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">
                    <v:rect id="Rectangle 970361999" o:spid="_x0000_s1033" style="position:absolute;width:60957;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" filled="f" stroked="f">
                      <v:textbox inset="2.53958mm,2.53958mm,2.53958mm,2.53958mm">
                        <w:txbxContent>
                          <w:p w14:paraId="774BAA9C" w14:textId="77777777" w:rsidR="00B23DF1" w:rsidRDefault="00B23DF1">
                            <w:pPr>
                              <w:spacing w:after="0" w:line="240" w:lineRule="auto"/>
                              <w:ind w:right="0" w:firstLine="0"/>
                              <w:jc w:val="left"/>
                              <w:textDirection w:val="btLr"/>
                            </w:pPr>
                          </w:p>
                        </w:txbxContent>
                      </v:textbox>
                    </v:rect>
                    <v:shape id="Freeform: Shape 1677355510" o:spid="_x0000_s1034" style="position:absolute;width:60957;height:182;visibility:visible;mso-wrap-style:square;v-text-anchor:middle" coordsize="60957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" path="m,l6095746,r,18288l,18288,,e" fillcolor="black" stroked="f">
                      <v:path arrowok="t" o:extrusionok="f"/>
                    </v:shape>
                  </v:group>
                </v:group>
              </v:group>
              <w10:wrap type="square" anchorx="page" anchory="page"/>
            </v:group>
          </w:pict>
        </mc:Fallback>
      </mc:AlternateContent>
    </w:r>
    <w:r>
      <w:rPr>
        <w:sz w:val="20"/>
        <w:szCs w:val="20"/>
      </w:rPr>
      <w:t xml:space="preserve"> </w:t>
    </w:r>
  </w:p>
  <w:p w14:paraId="14C587D5" w14:textId="77777777" w:rsidR="00B23DF1" w:rsidRDefault="00000000">
    <w:pPr>
      <w:spacing w:after="0" w:line="259" w:lineRule="auto"/>
      <w:ind w:right="-180" w:firstLine="0"/>
      <w:jc w:val="right"/>
    </w:pPr>
    <w:r>
      <w:rPr>
        <w:sz w:val="20"/>
        <w:szCs w:val="20"/>
      </w:rPr>
      <w:t xml:space="preserve">Exploring the Nexus of Transformational Leadership, Motivation, and Employee Performance… </w:t>
    </w:r>
  </w:p>
  <w:p w14:paraId="78F8A774" w14:textId="77777777" w:rsidR="00B23DF1" w:rsidRDefault="00000000">
    <w:pPr>
      <w:spacing w:after="33" w:line="259" w:lineRule="auto"/>
      <w:ind w:left="-274" w:right="0" w:firstLine="0"/>
      <w:jc w:val="left"/>
    </w:pPr>
    <w:r>
      <w:rPr>
        <w:sz w:val="16"/>
        <w:szCs w:val="16"/>
      </w:rPr>
      <w:t xml:space="preserve"> </w:t>
    </w:r>
  </w:p>
  <w:p w14:paraId="763D0C5E" w14:textId="77777777" w:rsidR="00B23DF1" w:rsidRDefault="00000000">
    <w:pPr>
      <w:spacing w:after="0" w:line="259" w:lineRule="auto"/>
      <w:ind w:left="-274" w:right="0" w:firstLine="0"/>
      <w:jc w:val="left"/>
    </w:pP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903D7"/>
    <w:multiLevelType w:val="multilevel"/>
    <w:tmpl w:val="D8C24172"/>
    <w:lvl w:ilvl="0">
      <w:start w:val="1"/>
      <w:numFmt w:val="decimal"/>
      <w:lvlText w:val="%1."/>
      <w:lvlJc w:val="left"/>
      <w:pPr>
        <w:ind w:left="719" w:hanging="434"/>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49157556"/>
    <w:multiLevelType w:val="multilevel"/>
    <w:tmpl w:val="8760DEE0"/>
    <w:lvl w:ilvl="0">
      <w:start w:val="1"/>
      <w:numFmt w:val="decimal"/>
      <w:lvlText w:val="%1."/>
      <w:lvlJc w:val="left"/>
      <w:pPr>
        <w:ind w:left="619" w:hanging="360"/>
      </w:pPr>
    </w:lvl>
    <w:lvl w:ilvl="1">
      <w:start w:val="1"/>
      <w:numFmt w:val="lowerLetter"/>
      <w:lvlText w:val="%2."/>
      <w:lvlJc w:val="left"/>
      <w:pPr>
        <w:ind w:left="1339" w:hanging="360"/>
      </w:pPr>
    </w:lvl>
    <w:lvl w:ilvl="2">
      <w:start w:val="1"/>
      <w:numFmt w:val="lowerRoman"/>
      <w:lvlText w:val="%3."/>
      <w:lvlJc w:val="right"/>
      <w:pPr>
        <w:ind w:left="2059" w:hanging="180"/>
      </w:pPr>
    </w:lvl>
    <w:lvl w:ilvl="3">
      <w:start w:val="1"/>
      <w:numFmt w:val="decimal"/>
      <w:lvlText w:val="%4."/>
      <w:lvlJc w:val="left"/>
      <w:pPr>
        <w:ind w:left="2779" w:hanging="360"/>
      </w:pPr>
    </w:lvl>
    <w:lvl w:ilvl="4">
      <w:start w:val="1"/>
      <w:numFmt w:val="lowerLetter"/>
      <w:lvlText w:val="%5."/>
      <w:lvlJc w:val="left"/>
      <w:pPr>
        <w:ind w:left="3499" w:hanging="360"/>
      </w:pPr>
    </w:lvl>
    <w:lvl w:ilvl="5">
      <w:start w:val="1"/>
      <w:numFmt w:val="lowerRoman"/>
      <w:lvlText w:val="%6."/>
      <w:lvlJc w:val="right"/>
      <w:pPr>
        <w:ind w:left="4219" w:hanging="180"/>
      </w:pPr>
    </w:lvl>
    <w:lvl w:ilvl="6">
      <w:start w:val="1"/>
      <w:numFmt w:val="decimal"/>
      <w:lvlText w:val="%7."/>
      <w:lvlJc w:val="left"/>
      <w:pPr>
        <w:ind w:left="4939" w:hanging="360"/>
      </w:pPr>
    </w:lvl>
    <w:lvl w:ilvl="7">
      <w:start w:val="1"/>
      <w:numFmt w:val="lowerLetter"/>
      <w:lvlText w:val="%8."/>
      <w:lvlJc w:val="left"/>
      <w:pPr>
        <w:ind w:left="5659" w:hanging="360"/>
      </w:pPr>
    </w:lvl>
    <w:lvl w:ilvl="8">
      <w:start w:val="1"/>
      <w:numFmt w:val="lowerRoman"/>
      <w:lvlText w:val="%9."/>
      <w:lvlJc w:val="right"/>
      <w:pPr>
        <w:ind w:left="6379" w:hanging="180"/>
      </w:pPr>
    </w:lvl>
  </w:abstractNum>
  <w:num w:numId="1" w16cid:durableId="761225964">
    <w:abstractNumId w:val="0"/>
  </w:num>
  <w:num w:numId="2" w16cid:durableId="207766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DF1"/>
    <w:rsid w:val="00054CEF"/>
    <w:rsid w:val="002225C1"/>
    <w:rsid w:val="00260A78"/>
    <w:rsid w:val="003548B7"/>
    <w:rsid w:val="00603695"/>
    <w:rsid w:val="006C1B0A"/>
    <w:rsid w:val="007E6054"/>
    <w:rsid w:val="008478E3"/>
    <w:rsid w:val="008C19E2"/>
    <w:rsid w:val="00984E74"/>
    <w:rsid w:val="00A425ED"/>
    <w:rsid w:val="00B23DF1"/>
    <w:rsid w:val="00B23F5E"/>
    <w:rsid w:val="00CC4130"/>
    <w:rsid w:val="00DE5A5D"/>
    <w:rsid w:val="00ED65F4"/>
    <w:rsid w:val="00F25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B1E5F"/>
  <w15:docId w15:val="{0FA627CB-022F-4150-98EA-5E7E3404D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pPr>
        <w:spacing w:after="9" w:line="267" w:lineRule="auto"/>
        <w:ind w:right="47" w:firstLine="27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CAF"/>
    <w:rPr>
      <w:rFonts w:eastAsia="Calibri" w:cs="Calibri"/>
      <w:color w:val="000000"/>
      <w:lang w:bidi="en-US"/>
    </w:rPr>
  </w:style>
  <w:style w:type="paragraph" w:styleId="Heading1">
    <w:name w:val="heading 1"/>
    <w:next w:val="Normal"/>
    <w:link w:val="Heading1Char"/>
    <w:uiPriority w:val="9"/>
    <w:qFormat/>
    <w:rsid w:val="0036740C"/>
    <w:pPr>
      <w:keepNext/>
      <w:keepLines/>
      <w:spacing w:after="143" w:line="259" w:lineRule="auto"/>
      <w:outlineLvl w:val="0"/>
    </w:pPr>
    <w:rPr>
      <w:rFonts w:ascii="Calibri" w:eastAsia="Calibri" w:hAnsi="Calibri" w:cs="Calibri"/>
      <w:b/>
      <w:color w:val="000000" w:themeColor="text1"/>
      <w:sz w:val="40"/>
    </w:rPr>
  </w:style>
  <w:style w:type="paragraph" w:styleId="Heading2">
    <w:name w:val="heading 2"/>
    <w:next w:val="Normal"/>
    <w:link w:val="Heading2Char"/>
    <w:uiPriority w:val="9"/>
    <w:unhideWhenUsed/>
    <w:qFormat/>
    <w:rsid w:val="005365BD"/>
    <w:pPr>
      <w:keepNext/>
      <w:keepLines/>
      <w:spacing w:before="120" w:after="120" w:line="259" w:lineRule="auto"/>
      <w:ind w:left="10" w:hanging="10"/>
      <w:outlineLvl w:val="1"/>
    </w:pPr>
    <w:rPr>
      <w:rFonts w:ascii="Calibri" w:eastAsia="Calibri" w:hAnsi="Calibri" w:cs="Calibri"/>
      <w:b/>
      <w:color w:val="000000" w:themeColor="text1"/>
      <w:sz w:val="28"/>
    </w:rPr>
  </w:style>
  <w:style w:type="paragraph" w:styleId="Heading3">
    <w:name w:val="heading 3"/>
    <w:basedOn w:val="Normal"/>
    <w:next w:val="Normal"/>
    <w:link w:val="Heading3Char"/>
    <w:uiPriority w:val="9"/>
    <w:unhideWhenUsed/>
    <w:qFormat/>
    <w:rsid w:val="00C40605"/>
    <w:pPr>
      <w:keepNext/>
      <w:keepLines/>
      <w:spacing w:before="40" w:after="0"/>
      <w:jc w:val="left"/>
      <w:outlineLvl w:val="2"/>
    </w:pPr>
    <w:rPr>
      <w:rFonts w:asciiTheme="minorHAnsi" w:eastAsiaTheme="majorEastAsia" w:hAnsiTheme="minorHAnsi" w:cstheme="majorBidi"/>
      <w:b/>
      <w:color w:val="auto"/>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36740C"/>
    <w:rPr>
      <w:rFonts w:ascii="Calibri" w:eastAsia="Calibri" w:hAnsi="Calibri" w:cs="Calibri"/>
      <w:b/>
      <w:color w:val="000000" w:themeColor="text1"/>
      <w:sz w:val="40"/>
    </w:rPr>
  </w:style>
  <w:style w:type="character" w:customStyle="1" w:styleId="Heading2Char">
    <w:name w:val="Heading 2 Char"/>
    <w:link w:val="Heading2"/>
    <w:uiPriority w:val="9"/>
    <w:rsid w:val="005365BD"/>
    <w:rPr>
      <w:rFonts w:ascii="Calibri" w:eastAsia="Calibri" w:hAnsi="Calibri" w:cs="Calibri"/>
      <w:b/>
      <w:color w:val="000000" w:themeColor="text1"/>
      <w:sz w:val="28"/>
    </w:rPr>
  </w:style>
  <w:style w:type="table" w:customStyle="1" w:styleId="TableGrid">
    <w:name w:val="TableGrid"/>
    <w:tblPr>
      <w:tblCellMar>
        <w:top w:w="0" w:type="dxa"/>
        <w:left w:w="0" w:type="dxa"/>
        <w:bottom w:w="0" w:type="dxa"/>
        <w:right w:w="0" w:type="dxa"/>
      </w:tblCellMar>
    </w:tblPr>
  </w:style>
  <w:style w:type="table" w:styleId="PlainTable4">
    <w:name w:val="Plain Table 4"/>
    <w:basedOn w:val="TableNormal"/>
    <w:uiPriority w:val="44"/>
    <w:rsid w:val="001D7145"/>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E530D"/>
    <w:rPr>
      <w:rFonts w:eastAsiaTheme="minorHAn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2A2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92F"/>
    <w:rPr>
      <w:rFonts w:ascii="Calibri" w:eastAsia="Calibri" w:hAnsi="Calibri" w:cs="Calibri"/>
      <w:color w:val="000000"/>
      <w:sz w:val="22"/>
      <w:lang w:eastAsia="en-US" w:bidi="en-US"/>
    </w:rPr>
  </w:style>
  <w:style w:type="table" w:styleId="PlainTable2">
    <w:name w:val="Plain Table 2"/>
    <w:basedOn w:val="TableNormal"/>
    <w:uiPriority w:val="42"/>
    <w:rsid w:val="001F6D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EF56EB"/>
    <w:rPr>
      <w:color w:val="0563C1" w:themeColor="hyperlink"/>
      <w:u w:val="single"/>
    </w:rPr>
  </w:style>
  <w:style w:type="character" w:styleId="UnresolvedMention">
    <w:name w:val="Unresolved Mention"/>
    <w:basedOn w:val="DefaultParagraphFont"/>
    <w:uiPriority w:val="99"/>
    <w:semiHidden/>
    <w:unhideWhenUsed/>
    <w:rsid w:val="00EF56EB"/>
    <w:rPr>
      <w:color w:val="605E5C"/>
      <w:shd w:val="clear" w:color="auto" w:fill="E1DFDD"/>
    </w:rPr>
  </w:style>
  <w:style w:type="table" w:styleId="TableGrid0">
    <w:name w:val="Table Grid"/>
    <w:basedOn w:val="TableNormal"/>
    <w:uiPriority w:val="39"/>
    <w:rsid w:val="00F32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40605"/>
    <w:rPr>
      <w:rFonts w:eastAsiaTheme="majorEastAsia" w:cstheme="majorBidi"/>
      <w:b/>
      <w:lang w:eastAsia="en-US" w:bidi="en-US"/>
    </w:rPr>
  </w:style>
  <w:style w:type="paragraph" w:customStyle="1" w:styleId="Paragraph">
    <w:name w:val="Paragraph"/>
    <w:basedOn w:val="Normal"/>
    <w:link w:val="ParagraphChar"/>
    <w:rsid w:val="00AA4AA0"/>
    <w:pPr>
      <w:autoSpaceDE w:val="0"/>
      <w:autoSpaceDN w:val="0"/>
      <w:adjustRightInd w:val="0"/>
      <w:spacing w:after="0" w:line="240" w:lineRule="auto"/>
      <w:ind w:right="0" w:firstLine="284"/>
    </w:pPr>
    <w:rPr>
      <w:rFonts w:ascii="Calisto MT" w:eastAsiaTheme="minorEastAsia" w:hAnsi="Calisto MT" w:cs="Times New Roman"/>
      <w:color w:val="auto"/>
      <w:sz w:val="22"/>
      <w:szCs w:val="22"/>
      <w:lang w:bidi="ar-SA"/>
    </w:rPr>
  </w:style>
  <w:style w:type="character" w:customStyle="1" w:styleId="ParagraphChar">
    <w:name w:val="Paragraph Char"/>
    <w:basedOn w:val="DefaultParagraphFont"/>
    <w:link w:val="Paragraph"/>
    <w:rsid w:val="00AA4AA0"/>
    <w:rPr>
      <w:rFonts w:ascii="Calisto MT" w:hAnsi="Calisto MT" w:cs="Times New Roman"/>
      <w:kern w:val="0"/>
      <w:sz w:val="22"/>
      <w:szCs w:val="22"/>
      <w:lang w:eastAsia="en-US"/>
    </w:rPr>
  </w:style>
  <w:style w:type="paragraph" w:styleId="ListParagraph">
    <w:name w:val="List Paragraph"/>
    <w:basedOn w:val="Normal"/>
    <w:uiPriority w:val="34"/>
    <w:qFormat/>
    <w:rsid w:val="00AA4AA0"/>
    <w:pPr>
      <w:ind w:left="720"/>
      <w:contextualSpacing/>
    </w:pPr>
  </w:style>
  <w:style w:type="character" w:styleId="FollowedHyperlink">
    <w:name w:val="FollowedHyperlink"/>
    <w:basedOn w:val="DefaultParagraphFont"/>
    <w:uiPriority w:val="99"/>
    <w:semiHidden/>
    <w:unhideWhenUsed/>
    <w:rsid w:val="00B83375"/>
    <w:rPr>
      <w:color w:val="954F72" w:themeColor="followedHyperlink"/>
      <w:u w:val="single"/>
    </w:rPr>
  </w:style>
  <w:style w:type="paragraph" w:styleId="NoSpacing">
    <w:name w:val="No Spacing"/>
    <w:uiPriority w:val="1"/>
    <w:rsid w:val="0056494B"/>
    <w:rPr>
      <w:rFonts w:eastAsiaTheme="minorHAnsi"/>
      <w:sz w:val="18"/>
      <w:szCs w:val="22"/>
    </w:rPr>
  </w:style>
  <w:style w:type="paragraph" w:customStyle="1" w:styleId="Affiliation">
    <w:name w:val="Affiliation"/>
    <w:basedOn w:val="Normal"/>
    <w:link w:val="AffiliationChar"/>
    <w:rsid w:val="0056494B"/>
    <w:pPr>
      <w:spacing w:before="160" w:after="160" w:line="276" w:lineRule="auto"/>
      <w:ind w:right="0" w:firstLine="0"/>
      <w:jc w:val="left"/>
    </w:pPr>
    <w:rPr>
      <w:rFonts w:eastAsiaTheme="minorHAnsi" w:cstheme="minorBidi"/>
      <w:i/>
      <w:color w:val="auto"/>
      <w:sz w:val="18"/>
      <w:szCs w:val="22"/>
      <w:lang w:bidi="ar-SA"/>
    </w:rPr>
  </w:style>
  <w:style w:type="paragraph" w:customStyle="1" w:styleId="Abstract">
    <w:name w:val="Abstract"/>
    <w:basedOn w:val="Normal"/>
    <w:link w:val="AbstractChar"/>
    <w:rsid w:val="0056494B"/>
    <w:pPr>
      <w:spacing w:before="160" w:after="160" w:line="276" w:lineRule="auto"/>
      <w:ind w:right="0" w:firstLine="0"/>
    </w:pPr>
    <w:rPr>
      <w:rFonts w:eastAsiaTheme="minorHAnsi" w:cstheme="minorBidi"/>
      <w:color w:val="222A35" w:themeColor="text2" w:themeShade="80"/>
      <w:sz w:val="18"/>
      <w:szCs w:val="22"/>
      <w:lang w:bidi="ar-SA"/>
    </w:rPr>
  </w:style>
  <w:style w:type="character" w:customStyle="1" w:styleId="AffiliationChar">
    <w:name w:val="Affiliation Char"/>
    <w:basedOn w:val="DefaultParagraphFont"/>
    <w:link w:val="Affiliation"/>
    <w:rsid w:val="0056494B"/>
    <w:rPr>
      <w:rFonts w:ascii="Times New Roman" w:eastAsiaTheme="minorHAnsi" w:hAnsi="Times New Roman"/>
      <w:i/>
      <w:kern w:val="0"/>
      <w:sz w:val="18"/>
      <w:szCs w:val="22"/>
      <w:lang w:eastAsia="en-US"/>
    </w:rPr>
  </w:style>
  <w:style w:type="character" w:customStyle="1" w:styleId="AbstractChar">
    <w:name w:val="Abstract Char"/>
    <w:basedOn w:val="DefaultParagraphFont"/>
    <w:link w:val="Abstract"/>
    <w:rsid w:val="0056494B"/>
    <w:rPr>
      <w:rFonts w:ascii="Times New Roman" w:eastAsiaTheme="minorHAnsi" w:hAnsi="Times New Roman"/>
      <w:color w:val="222A35" w:themeColor="text2" w:themeShade="80"/>
      <w:kern w:val="0"/>
      <w:sz w:val="18"/>
      <w:szCs w:val="22"/>
      <w:lang w:eastAsia="en-US"/>
    </w:rPr>
  </w:style>
  <w:style w:type="table" w:customStyle="1" w:styleId="TableGrid1">
    <w:name w:val="Table Grid1"/>
    <w:basedOn w:val="TableNormal"/>
    <w:next w:val="TableGrid0"/>
    <w:uiPriority w:val="39"/>
    <w:rsid w:val="0056494B"/>
    <w:rPr>
      <w:rFonts w:eastAsia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21CD4"/>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144" w:type="dxa"/>
        <w:left w:w="288" w:type="dxa"/>
        <w:bottom w:w="144" w:type="dxa"/>
        <w:right w:w="288" w:type="dxa"/>
      </w:tblCellMar>
    </w:tblPr>
  </w:style>
  <w:style w:type="table" w:customStyle="1" w:styleId="a0">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rPr>
      <w:sz w:val="22"/>
      <w:szCs w:val="22"/>
    </w:rPr>
    <w:tblPr>
      <w:tblStyleRowBandSize w:val="1"/>
      <w:tblStyleColBandSize w:val="1"/>
      <w:tblCellMar>
        <w:top w:w="144" w:type="dxa"/>
        <w:left w:w="288" w:type="dxa"/>
        <w:bottom w:w="144" w:type="dxa"/>
        <w:right w:w="288" w:type="dxa"/>
      </w:tblCellMar>
    </w:tblPr>
  </w:style>
  <w:style w:type="table" w:customStyle="1" w:styleId="a4">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rPr>
      <w:sz w:val="22"/>
      <w:szCs w:val="22"/>
    </w:rPr>
    <w:tblPr>
      <w:tblStyleRowBandSize w:val="1"/>
      <w:tblStyleColBandSize w:val="1"/>
      <w:tblCellMar>
        <w:top w:w="144" w:type="dxa"/>
        <w:left w:w="288" w:type="dxa"/>
        <w:bottom w:w="144" w:type="dxa"/>
        <w:right w:w="288" w:type="dxa"/>
      </w:tblCellMar>
    </w:tblPr>
  </w:style>
  <w:style w:type="table" w:customStyle="1" w:styleId="a8">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hyperlink" Target="https://iacs.co.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llJWkObg6omKpXYuT+MuO7+9GA==">CgMxLjAyCGguZ2pkZ3hzMgloLjMwajB6bGwyCmlkLjFmb2I5dGUyCmlkLjN6bnlzaDc4AHIhMU5Sc05VLUo0SEdpTHA4aTdERnpnVVJkRW95cllXUEp4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13995</Words>
  <Characters>79775</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Irham Farid H</cp:lastModifiedBy>
  <cp:revision>14</cp:revision>
  <dcterms:created xsi:type="dcterms:W3CDTF">2025-12-10T02:31:00Z</dcterms:created>
  <dcterms:modified xsi:type="dcterms:W3CDTF">2026-01-26T09:06:00Z</dcterms:modified>
</cp:coreProperties>
</file>